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75D7B" w:rsidRDefault="00C75D7B">
      <w:pPr>
        <w:jc w:val="center"/>
        <w:rPr>
          <w:b/>
          <w:bCs/>
          <w:sz w:val="44"/>
        </w:rPr>
      </w:pPr>
    </w:p>
    <w:p w:rsidR="00C75D7B" w:rsidRDefault="00C75D7B">
      <w:pPr>
        <w:jc w:val="center"/>
        <w:rPr>
          <w:b/>
          <w:bCs/>
          <w:sz w:val="44"/>
        </w:rPr>
      </w:pPr>
    </w:p>
    <w:p w:rsidR="00C75D7B" w:rsidRDefault="00C75D7B">
      <w:pPr>
        <w:jc w:val="center"/>
        <w:rPr>
          <w:b/>
          <w:bCs/>
          <w:sz w:val="44"/>
        </w:rPr>
      </w:pPr>
    </w:p>
    <w:p w:rsidR="00C75D7B" w:rsidRDefault="007900C0">
      <w:pPr>
        <w:autoSpaceDE w:val="0"/>
        <w:autoSpaceDN w:val="0"/>
        <w:adjustRightInd w:val="0"/>
        <w:jc w:val="center"/>
        <w:rPr>
          <w:rFonts w:ascii="黑体" w:eastAsia="黑体" w:hAnsi="黑体" w:cs="宋体"/>
          <w:color w:val="000000"/>
          <w:sz w:val="52"/>
          <w:szCs w:val="52"/>
          <w14:ligatures w14:val="standardContextual"/>
        </w:rPr>
      </w:pPr>
      <w:r>
        <w:rPr>
          <w:rFonts w:ascii="黑体" w:eastAsia="黑体" w:hAnsi="黑体" w:cs="宋体" w:hint="eastAsia"/>
          <w:color w:val="000000"/>
          <w:sz w:val="52"/>
          <w:szCs w:val="52"/>
          <w14:ligatures w14:val="standardContextual"/>
        </w:rPr>
        <w:t>宿迁新亚科技有限公司</w:t>
      </w:r>
    </w:p>
    <w:p w:rsidR="00C75D7B" w:rsidRDefault="007900C0">
      <w:pPr>
        <w:autoSpaceDE w:val="0"/>
        <w:autoSpaceDN w:val="0"/>
        <w:adjustRightInd w:val="0"/>
        <w:jc w:val="center"/>
        <w:rPr>
          <w:rFonts w:ascii="黑体" w:eastAsia="黑体" w:hAnsi="黑体" w:cs="宋体"/>
          <w:color w:val="000000"/>
          <w:sz w:val="52"/>
          <w:szCs w:val="52"/>
          <w14:ligatures w14:val="standardContextual"/>
        </w:rPr>
      </w:pPr>
      <w:r>
        <w:rPr>
          <w:rFonts w:ascii="黑体" w:eastAsia="黑体" w:hAnsi="黑体" w:cs="宋体" w:hint="eastAsia"/>
          <w:color w:val="000000"/>
          <w:sz w:val="52"/>
          <w:szCs w:val="52"/>
          <w14:ligatures w14:val="standardContextual"/>
        </w:rPr>
        <w:t>2024年度社会责任报告</w:t>
      </w:r>
    </w:p>
    <w:p w:rsidR="00C75D7B" w:rsidRDefault="00C75D7B">
      <w:pPr>
        <w:autoSpaceDE w:val="0"/>
        <w:autoSpaceDN w:val="0"/>
        <w:adjustRightInd w:val="0"/>
      </w:pPr>
    </w:p>
    <w:p w:rsidR="00C75D7B" w:rsidRDefault="00C75D7B">
      <w:pPr>
        <w:autoSpaceDE w:val="0"/>
        <w:autoSpaceDN w:val="0"/>
        <w:adjustRightInd w:val="0"/>
      </w:pPr>
    </w:p>
    <w:p w:rsidR="00C75D7B" w:rsidRDefault="00C75D7B">
      <w:pPr>
        <w:autoSpaceDE w:val="0"/>
        <w:autoSpaceDN w:val="0"/>
        <w:adjustRightInd w:val="0"/>
      </w:pPr>
    </w:p>
    <w:p w:rsidR="00C75D7B" w:rsidRDefault="00C75D7B">
      <w:pPr>
        <w:autoSpaceDE w:val="0"/>
        <w:autoSpaceDN w:val="0"/>
        <w:adjustRightInd w:val="0"/>
      </w:pPr>
    </w:p>
    <w:p w:rsidR="00C75D7B" w:rsidRDefault="00C75D7B">
      <w:pPr>
        <w:autoSpaceDE w:val="0"/>
        <w:autoSpaceDN w:val="0"/>
        <w:adjustRightInd w:val="0"/>
      </w:pPr>
    </w:p>
    <w:p w:rsidR="00C75D7B" w:rsidRDefault="007900C0">
      <w:pPr>
        <w:autoSpaceDE w:val="0"/>
        <w:autoSpaceDN w:val="0"/>
        <w:adjustRightInd w:val="0"/>
        <w:rPr>
          <w:rFonts w:ascii="宋体" w:hAnsi="等线" w:cs="宋体"/>
          <w:color w:val="000000"/>
          <w:sz w:val="28"/>
          <w:szCs w:val="28"/>
          <w14:ligatures w14:val="standardContextual"/>
        </w:rPr>
      </w:pPr>
      <w:r>
        <w:rPr>
          <w:noProof/>
        </w:rPr>
        <w:drawing>
          <wp:inline distT="0" distB="0" distL="114300" distR="114300">
            <wp:extent cx="5274310" cy="3048635"/>
            <wp:effectExtent l="0" t="0" r="8890" b="1206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0"/>
                    <a:stretch>
                      <a:fillRect/>
                    </a:stretch>
                  </pic:blipFill>
                  <pic:spPr>
                    <a:xfrm>
                      <a:off x="0" y="0"/>
                      <a:ext cx="5274310" cy="3048635"/>
                    </a:xfrm>
                    <a:prstGeom prst="rect">
                      <a:avLst/>
                    </a:prstGeom>
                    <a:noFill/>
                    <a:ln>
                      <a:noFill/>
                    </a:ln>
                  </pic:spPr>
                </pic:pic>
              </a:graphicData>
            </a:graphic>
          </wp:inline>
        </w:drawing>
      </w:r>
    </w:p>
    <w:p w:rsidR="00C75D7B" w:rsidRDefault="00C75D7B">
      <w:pPr>
        <w:autoSpaceDE w:val="0"/>
        <w:autoSpaceDN w:val="0"/>
        <w:adjustRightInd w:val="0"/>
        <w:rPr>
          <w:rFonts w:ascii="宋体" w:hAnsi="等线" w:cs="宋体"/>
          <w:color w:val="000000"/>
          <w:sz w:val="28"/>
          <w:szCs w:val="28"/>
          <w14:ligatures w14:val="standardContextual"/>
        </w:rPr>
      </w:pPr>
    </w:p>
    <w:p w:rsidR="00C75D7B" w:rsidRDefault="00C75D7B">
      <w:pPr>
        <w:autoSpaceDE w:val="0"/>
        <w:autoSpaceDN w:val="0"/>
        <w:adjustRightInd w:val="0"/>
        <w:rPr>
          <w:rFonts w:ascii="宋体" w:hAnsi="等线" w:cs="宋体"/>
          <w:color w:val="000000"/>
          <w:sz w:val="28"/>
          <w:szCs w:val="28"/>
          <w14:ligatures w14:val="standardContextual"/>
        </w:rPr>
      </w:pPr>
    </w:p>
    <w:p w:rsidR="00C75D7B" w:rsidRDefault="00C75D7B">
      <w:pPr>
        <w:autoSpaceDE w:val="0"/>
        <w:autoSpaceDN w:val="0"/>
        <w:adjustRightInd w:val="0"/>
        <w:rPr>
          <w:rFonts w:ascii="宋体" w:hAnsi="等线" w:cs="宋体"/>
          <w:color w:val="000000"/>
          <w:sz w:val="28"/>
          <w:szCs w:val="28"/>
          <w14:ligatures w14:val="standardContextual"/>
        </w:rPr>
      </w:pPr>
    </w:p>
    <w:p w:rsidR="00C75D7B" w:rsidRDefault="007900C0">
      <w:pPr>
        <w:autoSpaceDE w:val="0"/>
        <w:autoSpaceDN w:val="0"/>
        <w:adjustRightInd w:val="0"/>
        <w:jc w:val="center"/>
        <w:rPr>
          <w:rFonts w:ascii="宋体" w:hAnsi="等线" w:cs="宋体"/>
          <w:b/>
          <w:bCs/>
          <w:color w:val="000000"/>
          <w:sz w:val="32"/>
          <w:szCs w:val="32"/>
          <w14:ligatures w14:val="standardContextual"/>
        </w:rPr>
      </w:pPr>
      <w:r>
        <w:rPr>
          <w:rFonts w:ascii="宋体" w:hAnsi="等线" w:cs="宋体" w:hint="eastAsia"/>
          <w:b/>
          <w:bCs/>
          <w:color w:val="000000"/>
          <w:sz w:val="32"/>
          <w:szCs w:val="32"/>
          <w14:ligatures w14:val="standardContextual"/>
        </w:rPr>
        <w:t>2025年01月12日</w:t>
      </w:r>
    </w:p>
    <w:p w:rsidR="00C75D7B" w:rsidRDefault="00C75D7B">
      <w:pPr>
        <w:jc w:val="center"/>
        <w:rPr>
          <w:sz w:val="32"/>
          <w:szCs w:val="28"/>
        </w:rPr>
      </w:pPr>
    </w:p>
    <w:p w:rsidR="00C75D7B" w:rsidRDefault="00C75D7B">
      <w:bookmarkStart w:id="0" w:name="_Toc32209"/>
    </w:p>
    <w:p w:rsidR="00C75D7B" w:rsidRDefault="007900C0">
      <w:pPr>
        <w:pStyle w:val="2"/>
      </w:pPr>
      <w:r>
        <w:rPr>
          <w:rFonts w:hint="eastAsia"/>
        </w:rPr>
        <w:lastRenderedPageBreak/>
        <w:t>报告概述</w:t>
      </w:r>
      <w:bookmarkEnd w:id="0"/>
    </w:p>
    <w:p w:rsidR="00C75D7B" w:rsidRDefault="007900C0">
      <w:pPr>
        <w:spacing w:line="360" w:lineRule="auto"/>
        <w:ind w:firstLineChars="200" w:firstLine="480"/>
        <w:rPr>
          <w:rFonts w:ascii="宋体" w:hAnsi="宋体"/>
          <w:strike/>
          <w:sz w:val="24"/>
          <w:szCs w:val="22"/>
        </w:rPr>
      </w:pPr>
      <w:r>
        <w:rPr>
          <w:rFonts w:ascii="宋体" w:hAnsi="宋体" w:hint="eastAsia"/>
          <w:sz w:val="24"/>
          <w:szCs w:val="22"/>
        </w:rPr>
        <w:t>此报告为宿迁新亚科技有限公司第一份对外公开发布的《社会责任报告》。 本报告参照全球报告倡议组织GRI（Global Reporting Initiative ）《可持续发展报告标准（GRI Standards）》编制。</w:t>
      </w:r>
    </w:p>
    <w:p w:rsidR="00C75D7B" w:rsidRDefault="007900C0">
      <w:pPr>
        <w:pStyle w:val="2"/>
      </w:pPr>
      <w:bookmarkStart w:id="1" w:name="_Toc29530"/>
      <w:r>
        <w:rPr>
          <w:rFonts w:hint="eastAsia"/>
        </w:rPr>
        <w:t>报告范围</w:t>
      </w:r>
      <w:bookmarkEnd w:id="1"/>
    </w:p>
    <w:p w:rsidR="00C75D7B" w:rsidRDefault="007900C0">
      <w:pPr>
        <w:autoSpaceDN w:val="0"/>
        <w:spacing w:before="150" w:after="150" w:line="360" w:lineRule="auto"/>
        <w:ind w:firstLine="420"/>
        <w:rPr>
          <w:rFonts w:ascii="宋体" w:hAnsi="宋体"/>
          <w:sz w:val="24"/>
          <w:szCs w:val="22"/>
        </w:rPr>
      </w:pPr>
      <w:r>
        <w:rPr>
          <w:rFonts w:ascii="宋体" w:hAnsi="宋体" w:hint="eastAsia"/>
          <w:sz w:val="24"/>
          <w:szCs w:val="22"/>
        </w:rPr>
        <w:t xml:space="preserve">除非有特殊说明，本报告主要描述2024年1月1日至2024年12月31日期间，宿迁新亚科技有限公司在公司运营、内控管理、发展规划、供应链、人才建设等方面的工作，报告内容涵盖了公司胺类精细化工产品生产销售在营业务。 </w:t>
      </w:r>
    </w:p>
    <w:p w:rsidR="00C75D7B" w:rsidRDefault="00C75D7B">
      <w:pPr>
        <w:autoSpaceDN w:val="0"/>
        <w:spacing w:before="150" w:after="150" w:line="378" w:lineRule="atLeast"/>
        <w:rPr>
          <w:rFonts w:ascii="宋体" w:hAnsi="宋体"/>
          <w:sz w:val="24"/>
          <w:szCs w:val="21"/>
        </w:rPr>
      </w:pPr>
    </w:p>
    <w:p w:rsidR="00C75D7B" w:rsidRDefault="007900C0">
      <w:pPr>
        <w:autoSpaceDN w:val="0"/>
        <w:spacing w:before="150" w:after="150" w:line="378" w:lineRule="atLeast"/>
        <w:rPr>
          <w:rFonts w:ascii="宋体" w:hAnsi="宋体"/>
          <w:sz w:val="24"/>
          <w:szCs w:val="21"/>
        </w:rPr>
      </w:pPr>
      <w:r>
        <w:rPr>
          <w:rFonts w:ascii="宋体" w:hAnsi="宋体" w:hint="eastAsia"/>
          <w:sz w:val="24"/>
          <w:szCs w:val="21"/>
        </w:rPr>
        <w:t xml:space="preserve">宿迁新亚科技有限公司 </w:t>
      </w:r>
    </w:p>
    <w:p w:rsidR="00C75D7B" w:rsidRDefault="007900C0">
      <w:pPr>
        <w:autoSpaceDN w:val="0"/>
        <w:spacing w:before="150" w:after="150" w:line="378" w:lineRule="atLeast"/>
        <w:rPr>
          <w:rFonts w:ascii="宋体" w:hAnsi="宋体"/>
          <w:sz w:val="24"/>
          <w:szCs w:val="21"/>
        </w:rPr>
      </w:pPr>
      <w:r>
        <w:rPr>
          <w:rFonts w:ascii="宋体" w:hAnsi="宋体" w:hint="eastAsia"/>
          <w:sz w:val="24"/>
          <w:szCs w:val="21"/>
        </w:rPr>
        <w:t>地址：宿迁市经济开发区（北区）光前村</w:t>
      </w:r>
    </w:p>
    <w:p w:rsidR="00C75D7B" w:rsidRDefault="007900C0">
      <w:pPr>
        <w:autoSpaceDN w:val="0"/>
        <w:spacing w:before="150" w:after="150" w:line="378" w:lineRule="atLeast"/>
        <w:rPr>
          <w:rFonts w:ascii="宋体" w:hAnsi="宋体"/>
          <w:sz w:val="24"/>
          <w:szCs w:val="21"/>
        </w:rPr>
      </w:pPr>
      <w:r>
        <w:rPr>
          <w:rFonts w:ascii="宋体" w:hAnsi="宋体" w:hint="eastAsia"/>
          <w:sz w:val="24"/>
          <w:szCs w:val="21"/>
        </w:rPr>
        <w:t>邮政编码：223800</w:t>
      </w:r>
    </w:p>
    <w:p w:rsidR="00C75D7B" w:rsidRDefault="007900C0">
      <w:pPr>
        <w:autoSpaceDN w:val="0"/>
        <w:spacing w:before="150" w:after="150" w:line="378" w:lineRule="atLeast"/>
        <w:rPr>
          <w:rFonts w:ascii="宋体" w:hAnsi="宋体"/>
          <w:sz w:val="24"/>
          <w:szCs w:val="21"/>
        </w:rPr>
      </w:pPr>
      <w:r>
        <w:rPr>
          <w:rFonts w:ascii="宋体" w:hAnsi="宋体" w:hint="eastAsia"/>
          <w:sz w:val="24"/>
          <w:szCs w:val="21"/>
        </w:rPr>
        <w:t>电话：84836100  电子邮件：503356528@qq.com</w:t>
      </w:r>
    </w:p>
    <w:p w:rsidR="00C75D7B" w:rsidRDefault="00C75D7B">
      <w:pPr>
        <w:autoSpaceDN w:val="0"/>
        <w:spacing w:before="150" w:after="150" w:line="378" w:lineRule="atLeast"/>
        <w:rPr>
          <w:rFonts w:ascii="宋体" w:hAnsi="宋体"/>
          <w:sz w:val="24"/>
          <w:szCs w:val="21"/>
        </w:rPr>
      </w:pPr>
    </w:p>
    <w:p w:rsidR="00C75D7B" w:rsidRDefault="00C75D7B">
      <w:pPr>
        <w:autoSpaceDN w:val="0"/>
        <w:spacing w:before="150" w:after="150" w:line="378" w:lineRule="atLeast"/>
        <w:rPr>
          <w:rFonts w:ascii="宋体" w:hAnsi="宋体"/>
          <w:sz w:val="24"/>
          <w:szCs w:val="21"/>
        </w:rPr>
      </w:pPr>
    </w:p>
    <w:p w:rsidR="00C75D7B" w:rsidRDefault="00C75D7B">
      <w:pPr>
        <w:autoSpaceDN w:val="0"/>
        <w:spacing w:before="150" w:after="150" w:line="378" w:lineRule="atLeast"/>
        <w:rPr>
          <w:rFonts w:ascii="宋体" w:hAnsi="宋体"/>
          <w:sz w:val="24"/>
          <w:szCs w:val="21"/>
        </w:rPr>
      </w:pPr>
    </w:p>
    <w:p w:rsidR="00C75D7B" w:rsidRDefault="00C75D7B">
      <w:pPr>
        <w:autoSpaceDN w:val="0"/>
        <w:spacing w:before="150" w:after="150" w:line="378" w:lineRule="atLeast"/>
        <w:rPr>
          <w:rFonts w:ascii="宋体" w:hAnsi="宋体"/>
          <w:sz w:val="24"/>
          <w:szCs w:val="21"/>
        </w:rPr>
      </w:pPr>
    </w:p>
    <w:p w:rsidR="00C75D7B" w:rsidRDefault="00C75D7B">
      <w:pPr>
        <w:autoSpaceDN w:val="0"/>
        <w:spacing w:before="150" w:after="150" w:line="378" w:lineRule="atLeast"/>
        <w:rPr>
          <w:rFonts w:ascii="宋体" w:hAnsi="宋体"/>
          <w:sz w:val="24"/>
          <w:szCs w:val="21"/>
        </w:rPr>
      </w:pPr>
    </w:p>
    <w:p w:rsidR="00C75D7B" w:rsidRDefault="00C75D7B">
      <w:pPr>
        <w:autoSpaceDN w:val="0"/>
        <w:spacing w:before="150" w:after="150" w:line="378" w:lineRule="atLeast"/>
        <w:rPr>
          <w:rFonts w:ascii="宋体" w:hAnsi="宋体"/>
          <w:sz w:val="24"/>
          <w:szCs w:val="21"/>
        </w:rPr>
      </w:pPr>
    </w:p>
    <w:p w:rsidR="00C75D7B" w:rsidRDefault="00C75D7B">
      <w:pPr>
        <w:pStyle w:val="2"/>
        <w:jc w:val="center"/>
      </w:pPr>
    </w:p>
    <w:p w:rsidR="00C75D7B" w:rsidRDefault="007900C0">
      <w:bookmarkStart w:id="2" w:name="_Toc30550"/>
      <w:r>
        <w:rPr>
          <w:rFonts w:hint="eastAsia"/>
        </w:rPr>
        <w:br w:type="page"/>
      </w:r>
    </w:p>
    <w:bookmarkEnd w:id="2"/>
    <w:p w:rsidR="00171932" w:rsidRDefault="00171932" w:rsidP="00171932">
      <w:pPr>
        <w:pStyle w:val="2"/>
        <w:jc w:val="center"/>
      </w:pPr>
      <w:r>
        <w:rPr>
          <w:rFonts w:hint="eastAsia"/>
        </w:rPr>
        <w:lastRenderedPageBreak/>
        <w:t>目</w:t>
      </w:r>
      <w:r>
        <w:rPr>
          <w:rFonts w:hint="eastAsia"/>
        </w:rPr>
        <w:t xml:space="preserve">   </w:t>
      </w:r>
      <w:r>
        <w:rPr>
          <w:rFonts w:hint="eastAsia"/>
        </w:rPr>
        <w:t>录</w:t>
      </w:r>
    </w:p>
    <w:p w:rsidR="00171932" w:rsidRDefault="00171932" w:rsidP="00171932"/>
    <w:p w:rsidR="00171932" w:rsidRDefault="00171932" w:rsidP="00171932">
      <w:pPr>
        <w:pStyle w:val="20"/>
        <w:tabs>
          <w:tab w:val="right" w:leader="dot" w:pos="8306"/>
        </w:tabs>
      </w:pPr>
      <w:r>
        <w:rPr>
          <w:rFonts w:hint="eastAsia"/>
        </w:rPr>
        <w:fldChar w:fldCharType="begin"/>
      </w:r>
      <w:r>
        <w:rPr>
          <w:rFonts w:hint="eastAsia"/>
        </w:rPr>
        <w:instrText xml:space="preserve">TOC \o "1-3" \h  \u </w:instrText>
      </w:r>
      <w:r>
        <w:rPr>
          <w:rFonts w:hint="eastAsia"/>
        </w:rPr>
        <w:fldChar w:fldCharType="separate"/>
      </w:r>
      <w:hyperlink w:anchor="_Toc32209" w:history="1">
        <w:r>
          <w:rPr>
            <w:rFonts w:hint="eastAsia"/>
          </w:rPr>
          <w:t>报告概述</w:t>
        </w:r>
        <w:r>
          <w:tab/>
        </w:r>
        <w:r>
          <w:fldChar w:fldCharType="begin"/>
        </w:r>
        <w:r>
          <w:instrText xml:space="preserve"> PAGEREF _Toc32209 \h </w:instrText>
        </w:r>
        <w:r>
          <w:fldChar w:fldCharType="separate"/>
        </w:r>
        <w:r>
          <w:t>2</w:t>
        </w:r>
        <w:r>
          <w:fldChar w:fldCharType="end"/>
        </w:r>
      </w:hyperlink>
    </w:p>
    <w:p w:rsidR="00171932" w:rsidRDefault="00C770DD" w:rsidP="00171932">
      <w:pPr>
        <w:pStyle w:val="20"/>
        <w:tabs>
          <w:tab w:val="right" w:leader="dot" w:pos="8306"/>
        </w:tabs>
      </w:pPr>
      <w:hyperlink w:anchor="_Toc29530" w:history="1">
        <w:r w:rsidR="00171932">
          <w:rPr>
            <w:rFonts w:hint="eastAsia"/>
          </w:rPr>
          <w:t>报告范围</w:t>
        </w:r>
        <w:r w:rsidR="00171932">
          <w:tab/>
        </w:r>
        <w:r w:rsidR="00171932">
          <w:fldChar w:fldCharType="begin"/>
        </w:r>
        <w:r w:rsidR="00171932">
          <w:instrText xml:space="preserve"> PAGEREF _Toc29530 \h </w:instrText>
        </w:r>
        <w:r w:rsidR="00171932">
          <w:fldChar w:fldCharType="separate"/>
        </w:r>
        <w:r w:rsidR="00171932">
          <w:t>2</w:t>
        </w:r>
        <w:r w:rsidR="00171932">
          <w:fldChar w:fldCharType="end"/>
        </w:r>
      </w:hyperlink>
    </w:p>
    <w:p w:rsidR="00171932" w:rsidRDefault="00C770DD" w:rsidP="00171932">
      <w:pPr>
        <w:pStyle w:val="20"/>
        <w:tabs>
          <w:tab w:val="right" w:leader="dot" w:pos="8306"/>
        </w:tabs>
      </w:pPr>
      <w:hyperlink w:anchor="_Toc30550" w:history="1">
        <w:r w:rsidR="00171932">
          <w:rPr>
            <w:rFonts w:hint="eastAsia"/>
          </w:rPr>
          <w:t>目</w:t>
        </w:r>
        <w:r w:rsidR="00171932">
          <w:rPr>
            <w:rFonts w:hint="eastAsia"/>
          </w:rPr>
          <w:t xml:space="preserve">   </w:t>
        </w:r>
        <w:r w:rsidR="00171932">
          <w:rPr>
            <w:rFonts w:hint="eastAsia"/>
          </w:rPr>
          <w:t>录</w:t>
        </w:r>
        <w:r w:rsidR="00171932">
          <w:tab/>
        </w:r>
        <w:r w:rsidR="00171932">
          <w:fldChar w:fldCharType="begin"/>
        </w:r>
        <w:r w:rsidR="00171932">
          <w:instrText xml:space="preserve"> PAGEREF _Toc30550 \h </w:instrText>
        </w:r>
        <w:r w:rsidR="00171932">
          <w:fldChar w:fldCharType="separate"/>
        </w:r>
        <w:r w:rsidR="00171932">
          <w:t>3</w:t>
        </w:r>
        <w:r w:rsidR="00171932">
          <w:fldChar w:fldCharType="end"/>
        </w:r>
      </w:hyperlink>
    </w:p>
    <w:p w:rsidR="00171932" w:rsidRDefault="00C770DD" w:rsidP="00171932">
      <w:pPr>
        <w:pStyle w:val="20"/>
        <w:tabs>
          <w:tab w:val="right" w:leader="dot" w:pos="8306"/>
        </w:tabs>
      </w:pPr>
      <w:hyperlink w:anchor="_Toc17610" w:history="1">
        <w:r w:rsidR="00171932">
          <w:rPr>
            <w:rFonts w:hint="eastAsia"/>
          </w:rPr>
          <w:t>一、公司简介：</w:t>
        </w:r>
        <w:r w:rsidR="00171932">
          <w:tab/>
        </w:r>
        <w:r w:rsidR="00171932">
          <w:fldChar w:fldCharType="begin"/>
        </w:r>
        <w:r w:rsidR="00171932">
          <w:instrText xml:space="preserve"> PAGEREF _Toc17610 \h </w:instrText>
        </w:r>
        <w:r w:rsidR="00171932">
          <w:fldChar w:fldCharType="separate"/>
        </w:r>
        <w:r w:rsidR="00171932">
          <w:t>1</w:t>
        </w:r>
        <w:r w:rsidR="00171932">
          <w:fldChar w:fldCharType="end"/>
        </w:r>
      </w:hyperlink>
    </w:p>
    <w:p w:rsidR="00171932" w:rsidRDefault="00C770DD" w:rsidP="00171932">
      <w:pPr>
        <w:pStyle w:val="20"/>
        <w:tabs>
          <w:tab w:val="right" w:leader="dot" w:pos="8306"/>
        </w:tabs>
      </w:pPr>
      <w:hyperlink w:anchor="_Toc31400" w:history="1">
        <w:r w:rsidR="00171932">
          <w:rPr>
            <w:rFonts w:hint="eastAsia"/>
          </w:rPr>
          <w:t>二、</w:t>
        </w:r>
        <w:r w:rsidR="00171932">
          <w:rPr>
            <w:rFonts w:hint="eastAsia"/>
          </w:rPr>
          <w:t xml:space="preserve"> </w:t>
        </w:r>
        <w:r w:rsidR="00171932">
          <w:rPr>
            <w:rFonts w:hint="eastAsia"/>
          </w:rPr>
          <w:t>经营状况：</w:t>
        </w:r>
        <w:r w:rsidR="00171932">
          <w:tab/>
        </w:r>
        <w:r w:rsidR="00171932">
          <w:fldChar w:fldCharType="begin"/>
        </w:r>
        <w:r w:rsidR="00171932">
          <w:instrText xml:space="preserve"> PAGEREF _Toc31400 \h </w:instrText>
        </w:r>
        <w:r w:rsidR="00171932">
          <w:fldChar w:fldCharType="separate"/>
        </w:r>
        <w:r w:rsidR="00171932">
          <w:t>2</w:t>
        </w:r>
        <w:r w:rsidR="00171932">
          <w:fldChar w:fldCharType="end"/>
        </w:r>
      </w:hyperlink>
    </w:p>
    <w:p w:rsidR="00171932" w:rsidRDefault="00C770DD" w:rsidP="00171932">
      <w:pPr>
        <w:pStyle w:val="20"/>
        <w:tabs>
          <w:tab w:val="right" w:leader="dot" w:pos="8306"/>
        </w:tabs>
      </w:pPr>
      <w:hyperlink w:anchor="_Toc16148" w:history="1">
        <w:r w:rsidR="00171932">
          <w:rPr>
            <w:rFonts w:hint="eastAsia"/>
          </w:rPr>
          <w:t>三、</w:t>
        </w:r>
        <w:r w:rsidR="00171932">
          <w:rPr>
            <w:rFonts w:hint="eastAsia"/>
          </w:rPr>
          <w:t xml:space="preserve"> </w:t>
        </w:r>
        <w:r w:rsidR="00171932">
          <w:rPr>
            <w:rFonts w:hint="eastAsia"/>
          </w:rPr>
          <w:t>组织架构图</w:t>
        </w:r>
        <w:r w:rsidR="00171932">
          <w:rPr>
            <w:rFonts w:hint="eastAsia"/>
          </w:rPr>
          <w:t>:</w:t>
        </w:r>
        <w:r w:rsidR="00171932">
          <w:tab/>
        </w:r>
        <w:r w:rsidR="00171932">
          <w:fldChar w:fldCharType="begin"/>
        </w:r>
        <w:r w:rsidR="00171932">
          <w:instrText xml:space="preserve"> PAGEREF _Toc16148 \h </w:instrText>
        </w:r>
        <w:r w:rsidR="00171932">
          <w:fldChar w:fldCharType="separate"/>
        </w:r>
        <w:r w:rsidR="00171932">
          <w:t>3</w:t>
        </w:r>
        <w:r w:rsidR="00171932">
          <w:fldChar w:fldCharType="end"/>
        </w:r>
      </w:hyperlink>
    </w:p>
    <w:p w:rsidR="00171932" w:rsidRDefault="00C770DD" w:rsidP="00171932">
      <w:pPr>
        <w:pStyle w:val="20"/>
        <w:tabs>
          <w:tab w:val="right" w:leader="dot" w:pos="8306"/>
        </w:tabs>
      </w:pPr>
      <w:hyperlink w:anchor="_Toc15786" w:history="1">
        <w:r w:rsidR="00171932">
          <w:rPr>
            <w:rFonts w:hint="eastAsia"/>
          </w:rPr>
          <w:t>四、技术创新</w:t>
        </w:r>
        <w:r w:rsidR="00171932">
          <w:tab/>
        </w:r>
        <w:r w:rsidR="00171932">
          <w:fldChar w:fldCharType="begin"/>
        </w:r>
        <w:r w:rsidR="00171932">
          <w:instrText xml:space="preserve"> PAGEREF _Toc15786 \h </w:instrText>
        </w:r>
        <w:r w:rsidR="00171932">
          <w:fldChar w:fldCharType="separate"/>
        </w:r>
        <w:r w:rsidR="00171932">
          <w:t>4</w:t>
        </w:r>
        <w:r w:rsidR="00171932">
          <w:fldChar w:fldCharType="end"/>
        </w:r>
      </w:hyperlink>
    </w:p>
    <w:p w:rsidR="00171932" w:rsidRDefault="00C770DD" w:rsidP="00171932">
      <w:pPr>
        <w:pStyle w:val="20"/>
        <w:tabs>
          <w:tab w:val="right" w:leader="dot" w:pos="8306"/>
        </w:tabs>
      </w:pPr>
      <w:hyperlink w:anchor="_Toc9350" w:history="1">
        <w:r w:rsidR="00171932">
          <w:rPr>
            <w:rFonts w:ascii="宋体" w:hAnsi="宋体" w:cs="宋体" w:hint="eastAsia"/>
            <w:bCs/>
            <w:szCs w:val="30"/>
          </w:rPr>
          <w:t>1、技术管理工作</w:t>
        </w:r>
        <w:r w:rsidR="00171932">
          <w:tab/>
        </w:r>
        <w:r w:rsidR="00171932">
          <w:fldChar w:fldCharType="begin"/>
        </w:r>
        <w:r w:rsidR="00171932">
          <w:instrText xml:space="preserve"> PAGEREF _Toc9350 \h </w:instrText>
        </w:r>
        <w:r w:rsidR="00171932">
          <w:fldChar w:fldCharType="separate"/>
        </w:r>
        <w:r w:rsidR="00171932">
          <w:t>4</w:t>
        </w:r>
        <w:r w:rsidR="00171932">
          <w:fldChar w:fldCharType="end"/>
        </w:r>
      </w:hyperlink>
    </w:p>
    <w:p w:rsidR="00171932" w:rsidRDefault="00C770DD" w:rsidP="00171932">
      <w:pPr>
        <w:pStyle w:val="20"/>
        <w:tabs>
          <w:tab w:val="right" w:leader="dot" w:pos="8306"/>
        </w:tabs>
      </w:pPr>
      <w:hyperlink w:anchor="_Toc13707" w:history="1">
        <w:r w:rsidR="00171932">
          <w:t>2</w:t>
        </w:r>
        <w:r w:rsidR="00171932">
          <w:t>、</w:t>
        </w:r>
        <w:r w:rsidR="00171932">
          <w:t xml:space="preserve"> </w:t>
        </w:r>
        <w:r w:rsidR="00171932">
          <w:rPr>
            <w:rFonts w:hint="eastAsia"/>
          </w:rPr>
          <w:t>研发团队建立</w:t>
        </w:r>
        <w:r w:rsidR="00171932">
          <w:tab/>
        </w:r>
        <w:r w:rsidR="00171932">
          <w:fldChar w:fldCharType="begin"/>
        </w:r>
        <w:r w:rsidR="00171932">
          <w:instrText xml:space="preserve"> PAGEREF _Toc13707 \h </w:instrText>
        </w:r>
        <w:r w:rsidR="00171932">
          <w:fldChar w:fldCharType="separate"/>
        </w:r>
        <w:r w:rsidR="00171932">
          <w:t>4</w:t>
        </w:r>
        <w:r w:rsidR="00171932">
          <w:fldChar w:fldCharType="end"/>
        </w:r>
      </w:hyperlink>
    </w:p>
    <w:p w:rsidR="00171932" w:rsidRDefault="00C770DD" w:rsidP="00171932">
      <w:pPr>
        <w:pStyle w:val="20"/>
        <w:tabs>
          <w:tab w:val="right" w:leader="dot" w:pos="8306"/>
        </w:tabs>
      </w:pPr>
      <w:hyperlink w:anchor="_Toc12849" w:history="1">
        <w:r w:rsidR="00171932">
          <w:rPr>
            <w:rFonts w:hint="eastAsia"/>
          </w:rPr>
          <w:t>五、信用建设</w:t>
        </w:r>
        <w:r w:rsidR="00171932">
          <w:tab/>
        </w:r>
        <w:r w:rsidR="00171932">
          <w:fldChar w:fldCharType="begin"/>
        </w:r>
        <w:r w:rsidR="00171932">
          <w:instrText xml:space="preserve"> PAGEREF _Toc12849 \h </w:instrText>
        </w:r>
        <w:r w:rsidR="00171932">
          <w:fldChar w:fldCharType="separate"/>
        </w:r>
        <w:r w:rsidR="00171932">
          <w:t>5</w:t>
        </w:r>
        <w:r w:rsidR="00171932">
          <w:fldChar w:fldCharType="end"/>
        </w:r>
      </w:hyperlink>
    </w:p>
    <w:p w:rsidR="00171932" w:rsidRDefault="00C770DD" w:rsidP="00171932">
      <w:pPr>
        <w:pStyle w:val="20"/>
        <w:tabs>
          <w:tab w:val="right" w:leader="dot" w:pos="8306"/>
        </w:tabs>
      </w:pPr>
      <w:hyperlink w:anchor="_Toc8196" w:history="1">
        <w:r w:rsidR="00171932">
          <w:rPr>
            <w:rFonts w:hint="eastAsia"/>
          </w:rPr>
          <w:t>六、环保节约</w:t>
        </w:r>
        <w:r w:rsidR="00171932">
          <w:tab/>
        </w:r>
        <w:r w:rsidR="00171932">
          <w:fldChar w:fldCharType="begin"/>
        </w:r>
        <w:r w:rsidR="00171932">
          <w:instrText xml:space="preserve"> PAGEREF _Toc8196 \h </w:instrText>
        </w:r>
        <w:r w:rsidR="00171932">
          <w:fldChar w:fldCharType="separate"/>
        </w:r>
        <w:r w:rsidR="00171932">
          <w:t>6</w:t>
        </w:r>
        <w:r w:rsidR="00171932">
          <w:fldChar w:fldCharType="end"/>
        </w:r>
      </w:hyperlink>
    </w:p>
    <w:p w:rsidR="00171932" w:rsidRDefault="00C770DD" w:rsidP="00171932">
      <w:pPr>
        <w:pStyle w:val="30"/>
        <w:tabs>
          <w:tab w:val="right" w:leader="dot" w:pos="8306"/>
        </w:tabs>
      </w:pPr>
      <w:hyperlink w:anchor="_Toc24084" w:history="1">
        <w:r w:rsidR="00171932">
          <w:rPr>
            <w:rFonts w:hint="eastAsia"/>
          </w:rPr>
          <w:t>1</w:t>
        </w:r>
        <w:r w:rsidR="00171932">
          <w:rPr>
            <w:rFonts w:hint="eastAsia"/>
          </w:rPr>
          <w:t>、环境管理</w:t>
        </w:r>
        <w:r w:rsidR="00171932">
          <w:tab/>
        </w:r>
        <w:r w:rsidR="00171932">
          <w:fldChar w:fldCharType="begin"/>
        </w:r>
        <w:r w:rsidR="00171932">
          <w:instrText xml:space="preserve"> PAGEREF _Toc24084 \h </w:instrText>
        </w:r>
        <w:r w:rsidR="00171932">
          <w:fldChar w:fldCharType="separate"/>
        </w:r>
        <w:r w:rsidR="00171932">
          <w:t>6</w:t>
        </w:r>
        <w:r w:rsidR="00171932">
          <w:fldChar w:fldCharType="end"/>
        </w:r>
      </w:hyperlink>
    </w:p>
    <w:p w:rsidR="00171932" w:rsidRDefault="00C770DD" w:rsidP="00171932">
      <w:pPr>
        <w:pStyle w:val="30"/>
        <w:tabs>
          <w:tab w:val="right" w:leader="dot" w:pos="8306"/>
        </w:tabs>
      </w:pPr>
      <w:hyperlink w:anchor="_Toc27643" w:history="1">
        <w:r w:rsidR="00171932">
          <w:rPr>
            <w:rFonts w:hint="eastAsia"/>
          </w:rPr>
          <w:t>2</w:t>
        </w:r>
        <w:r w:rsidR="00171932">
          <w:rPr>
            <w:rFonts w:hint="eastAsia"/>
          </w:rPr>
          <w:t>、资源节约与综合利用</w:t>
        </w:r>
        <w:r w:rsidR="00171932">
          <w:tab/>
        </w:r>
        <w:r w:rsidR="00171932">
          <w:fldChar w:fldCharType="begin"/>
        </w:r>
        <w:r w:rsidR="00171932">
          <w:instrText xml:space="preserve"> PAGEREF _Toc27643 \h </w:instrText>
        </w:r>
        <w:r w:rsidR="00171932">
          <w:fldChar w:fldCharType="separate"/>
        </w:r>
        <w:r w:rsidR="00171932">
          <w:t>6</w:t>
        </w:r>
        <w:r w:rsidR="00171932">
          <w:fldChar w:fldCharType="end"/>
        </w:r>
      </w:hyperlink>
    </w:p>
    <w:p w:rsidR="00171932" w:rsidRDefault="00C770DD" w:rsidP="00171932">
      <w:pPr>
        <w:pStyle w:val="20"/>
        <w:tabs>
          <w:tab w:val="right" w:leader="dot" w:pos="8306"/>
        </w:tabs>
      </w:pPr>
      <w:hyperlink w:anchor="_Toc3565" w:history="1">
        <w:r w:rsidR="00171932">
          <w:rPr>
            <w:rFonts w:hint="eastAsia"/>
          </w:rPr>
          <w:t>七、安全生产</w:t>
        </w:r>
        <w:r w:rsidR="00171932">
          <w:tab/>
        </w:r>
        <w:r w:rsidR="00171932">
          <w:fldChar w:fldCharType="begin"/>
        </w:r>
        <w:r w:rsidR="00171932">
          <w:instrText xml:space="preserve"> PAGEREF _Toc3565 \h </w:instrText>
        </w:r>
        <w:r w:rsidR="00171932">
          <w:fldChar w:fldCharType="separate"/>
        </w:r>
        <w:r w:rsidR="00171932">
          <w:t>7</w:t>
        </w:r>
        <w:r w:rsidR="00171932">
          <w:fldChar w:fldCharType="end"/>
        </w:r>
      </w:hyperlink>
    </w:p>
    <w:p w:rsidR="00171932" w:rsidRDefault="00C770DD" w:rsidP="00171932">
      <w:pPr>
        <w:pStyle w:val="30"/>
        <w:tabs>
          <w:tab w:val="right" w:leader="dot" w:pos="8306"/>
        </w:tabs>
      </w:pPr>
      <w:hyperlink w:anchor="_Toc6483" w:history="1">
        <w:r w:rsidR="00171932">
          <w:rPr>
            <w:rFonts w:hint="eastAsia"/>
          </w:rPr>
          <w:t>1</w:t>
        </w:r>
        <w:r w:rsidR="00171932">
          <w:rPr>
            <w:rFonts w:hint="eastAsia"/>
          </w:rPr>
          <w:t>、安全生产管理</w:t>
        </w:r>
        <w:r w:rsidR="00171932">
          <w:tab/>
        </w:r>
        <w:r w:rsidR="00171932">
          <w:fldChar w:fldCharType="begin"/>
        </w:r>
        <w:r w:rsidR="00171932">
          <w:instrText xml:space="preserve"> PAGEREF _Toc6483 \h </w:instrText>
        </w:r>
        <w:r w:rsidR="00171932">
          <w:fldChar w:fldCharType="separate"/>
        </w:r>
        <w:r w:rsidR="00171932">
          <w:t>7</w:t>
        </w:r>
        <w:r w:rsidR="00171932">
          <w:fldChar w:fldCharType="end"/>
        </w:r>
      </w:hyperlink>
    </w:p>
    <w:p w:rsidR="00171932" w:rsidRDefault="00C770DD" w:rsidP="00171932">
      <w:pPr>
        <w:pStyle w:val="30"/>
        <w:tabs>
          <w:tab w:val="right" w:leader="dot" w:pos="8306"/>
        </w:tabs>
      </w:pPr>
      <w:hyperlink w:anchor="_Toc26339" w:history="1">
        <w:r w:rsidR="00171932">
          <w:rPr>
            <w:rFonts w:hint="eastAsia"/>
          </w:rPr>
          <w:t>2</w:t>
        </w:r>
        <w:r w:rsidR="00171932">
          <w:rPr>
            <w:rFonts w:hint="eastAsia"/>
          </w:rPr>
          <w:t>、安全生产投入</w:t>
        </w:r>
        <w:r w:rsidR="00171932">
          <w:tab/>
        </w:r>
        <w:r w:rsidR="00171932">
          <w:fldChar w:fldCharType="begin"/>
        </w:r>
        <w:r w:rsidR="00171932">
          <w:instrText xml:space="preserve"> PAGEREF _Toc26339 \h </w:instrText>
        </w:r>
        <w:r w:rsidR="00171932">
          <w:fldChar w:fldCharType="separate"/>
        </w:r>
        <w:r w:rsidR="00171932">
          <w:t>7</w:t>
        </w:r>
        <w:r w:rsidR="00171932">
          <w:fldChar w:fldCharType="end"/>
        </w:r>
      </w:hyperlink>
    </w:p>
    <w:p w:rsidR="00171932" w:rsidRDefault="00C770DD" w:rsidP="00171932">
      <w:pPr>
        <w:pStyle w:val="30"/>
        <w:tabs>
          <w:tab w:val="right" w:leader="dot" w:pos="8306"/>
        </w:tabs>
      </w:pPr>
      <w:hyperlink w:anchor="_Toc9373" w:history="1">
        <w:r w:rsidR="00171932">
          <w:rPr>
            <w:rFonts w:hint="eastAsia"/>
          </w:rPr>
          <w:t>3</w:t>
        </w:r>
        <w:r w:rsidR="00171932">
          <w:rPr>
            <w:rFonts w:hint="eastAsia"/>
          </w:rPr>
          <w:t>、安全生产教育和培训</w:t>
        </w:r>
        <w:r w:rsidR="00171932">
          <w:tab/>
        </w:r>
        <w:r w:rsidR="00171932">
          <w:fldChar w:fldCharType="begin"/>
        </w:r>
        <w:r w:rsidR="00171932">
          <w:instrText xml:space="preserve"> PAGEREF _Toc9373 \h </w:instrText>
        </w:r>
        <w:r w:rsidR="00171932">
          <w:fldChar w:fldCharType="separate"/>
        </w:r>
        <w:r w:rsidR="00171932">
          <w:t>7</w:t>
        </w:r>
        <w:r w:rsidR="00171932">
          <w:fldChar w:fldCharType="end"/>
        </w:r>
      </w:hyperlink>
    </w:p>
    <w:p w:rsidR="00171932" w:rsidRDefault="00C770DD" w:rsidP="00171932">
      <w:pPr>
        <w:pStyle w:val="20"/>
        <w:tabs>
          <w:tab w:val="right" w:leader="dot" w:pos="8306"/>
        </w:tabs>
      </w:pPr>
      <w:hyperlink w:anchor="_Toc22302" w:history="1">
        <w:r w:rsidR="00171932">
          <w:rPr>
            <w:rFonts w:hint="eastAsia"/>
          </w:rPr>
          <w:t>八、员工</w:t>
        </w:r>
        <w:r w:rsidR="00171932">
          <w:tab/>
        </w:r>
        <w:r w:rsidR="00171932">
          <w:fldChar w:fldCharType="begin"/>
        </w:r>
        <w:r w:rsidR="00171932">
          <w:instrText xml:space="preserve"> PAGEREF _Toc22302 \h </w:instrText>
        </w:r>
        <w:r w:rsidR="00171932">
          <w:fldChar w:fldCharType="separate"/>
        </w:r>
        <w:r w:rsidR="00171932">
          <w:t>8</w:t>
        </w:r>
        <w:r w:rsidR="00171932">
          <w:fldChar w:fldCharType="end"/>
        </w:r>
      </w:hyperlink>
    </w:p>
    <w:p w:rsidR="00171932" w:rsidRDefault="00C770DD" w:rsidP="00171932">
      <w:pPr>
        <w:pStyle w:val="30"/>
        <w:tabs>
          <w:tab w:val="right" w:leader="dot" w:pos="8306"/>
        </w:tabs>
      </w:pPr>
      <w:hyperlink w:anchor="_Toc8127" w:history="1">
        <w:r w:rsidR="00171932">
          <w:rPr>
            <w:rFonts w:hint="eastAsia"/>
          </w:rPr>
          <w:t>1</w:t>
        </w:r>
        <w:r w:rsidR="00171932">
          <w:rPr>
            <w:rFonts w:hint="eastAsia"/>
          </w:rPr>
          <w:t>、劳动合同与薪酬</w:t>
        </w:r>
        <w:r w:rsidR="00171932">
          <w:tab/>
        </w:r>
        <w:r w:rsidR="00171932">
          <w:fldChar w:fldCharType="begin"/>
        </w:r>
        <w:r w:rsidR="00171932">
          <w:instrText xml:space="preserve"> PAGEREF _Toc8127 \h </w:instrText>
        </w:r>
        <w:r w:rsidR="00171932">
          <w:fldChar w:fldCharType="separate"/>
        </w:r>
        <w:r w:rsidR="00171932">
          <w:t>8</w:t>
        </w:r>
        <w:r w:rsidR="00171932">
          <w:fldChar w:fldCharType="end"/>
        </w:r>
      </w:hyperlink>
    </w:p>
    <w:p w:rsidR="00171932" w:rsidRDefault="00C770DD" w:rsidP="00171932">
      <w:pPr>
        <w:pStyle w:val="30"/>
        <w:tabs>
          <w:tab w:val="right" w:leader="dot" w:pos="8306"/>
        </w:tabs>
      </w:pPr>
      <w:hyperlink w:anchor="_Toc31715" w:history="1">
        <w:r w:rsidR="00171932">
          <w:rPr>
            <w:rFonts w:hint="eastAsia"/>
          </w:rPr>
          <w:t>2</w:t>
        </w:r>
        <w:r w:rsidR="00171932">
          <w:rPr>
            <w:rFonts w:hint="eastAsia"/>
          </w:rPr>
          <w:t>、社会保障</w:t>
        </w:r>
        <w:r w:rsidR="00171932">
          <w:tab/>
        </w:r>
        <w:r w:rsidR="00171932">
          <w:fldChar w:fldCharType="begin"/>
        </w:r>
        <w:r w:rsidR="00171932">
          <w:instrText xml:space="preserve"> PAGEREF _Toc31715 \h </w:instrText>
        </w:r>
        <w:r w:rsidR="00171932">
          <w:fldChar w:fldCharType="separate"/>
        </w:r>
        <w:r w:rsidR="00171932">
          <w:t>8</w:t>
        </w:r>
        <w:r w:rsidR="00171932">
          <w:fldChar w:fldCharType="end"/>
        </w:r>
      </w:hyperlink>
    </w:p>
    <w:p w:rsidR="00171932" w:rsidRDefault="00C770DD" w:rsidP="00171932">
      <w:pPr>
        <w:pStyle w:val="30"/>
        <w:tabs>
          <w:tab w:val="right" w:leader="dot" w:pos="8306"/>
        </w:tabs>
      </w:pPr>
      <w:hyperlink w:anchor="_Toc529" w:history="1">
        <w:r w:rsidR="00171932">
          <w:rPr>
            <w:rFonts w:hint="eastAsia"/>
          </w:rPr>
          <w:t>3</w:t>
        </w:r>
        <w:r w:rsidR="00171932">
          <w:rPr>
            <w:rFonts w:hint="eastAsia"/>
          </w:rPr>
          <w:t>、员工福利</w:t>
        </w:r>
        <w:r w:rsidR="00171932">
          <w:tab/>
        </w:r>
        <w:r w:rsidR="00171932">
          <w:fldChar w:fldCharType="begin"/>
        </w:r>
        <w:r w:rsidR="00171932">
          <w:instrText xml:space="preserve"> PAGEREF _Toc529 \h </w:instrText>
        </w:r>
        <w:r w:rsidR="00171932">
          <w:fldChar w:fldCharType="separate"/>
        </w:r>
        <w:r w:rsidR="00171932">
          <w:t>8</w:t>
        </w:r>
        <w:r w:rsidR="00171932">
          <w:fldChar w:fldCharType="end"/>
        </w:r>
      </w:hyperlink>
    </w:p>
    <w:p w:rsidR="00171932" w:rsidRDefault="00C770DD" w:rsidP="00171932">
      <w:pPr>
        <w:pStyle w:val="30"/>
        <w:tabs>
          <w:tab w:val="right" w:leader="dot" w:pos="8306"/>
        </w:tabs>
      </w:pPr>
      <w:hyperlink w:anchor="_Toc10666" w:history="1">
        <w:r w:rsidR="00171932">
          <w:rPr>
            <w:rFonts w:hint="eastAsia"/>
          </w:rPr>
          <w:t>4</w:t>
        </w:r>
        <w:r w:rsidR="00171932">
          <w:rPr>
            <w:rFonts w:hint="eastAsia"/>
          </w:rPr>
          <w:t>、职业健康安全</w:t>
        </w:r>
        <w:r w:rsidR="00171932">
          <w:tab/>
        </w:r>
        <w:r w:rsidR="00171932">
          <w:fldChar w:fldCharType="begin"/>
        </w:r>
        <w:r w:rsidR="00171932">
          <w:instrText xml:space="preserve"> PAGEREF _Toc10666 \h </w:instrText>
        </w:r>
        <w:r w:rsidR="00171932">
          <w:fldChar w:fldCharType="separate"/>
        </w:r>
        <w:r w:rsidR="00171932">
          <w:t>9</w:t>
        </w:r>
        <w:r w:rsidR="00171932">
          <w:fldChar w:fldCharType="end"/>
        </w:r>
      </w:hyperlink>
    </w:p>
    <w:p w:rsidR="00171932" w:rsidRDefault="00C770DD" w:rsidP="00171932">
      <w:pPr>
        <w:pStyle w:val="30"/>
        <w:tabs>
          <w:tab w:val="right" w:leader="dot" w:pos="8306"/>
        </w:tabs>
      </w:pPr>
      <w:hyperlink w:anchor="_Toc9893" w:history="1">
        <w:r w:rsidR="00171932">
          <w:rPr>
            <w:rFonts w:hint="eastAsia"/>
          </w:rPr>
          <w:t>5</w:t>
        </w:r>
        <w:r w:rsidR="00171932">
          <w:rPr>
            <w:rFonts w:hint="eastAsia"/>
          </w:rPr>
          <w:t>、民主管理</w:t>
        </w:r>
        <w:r w:rsidR="00171932">
          <w:tab/>
        </w:r>
        <w:r w:rsidR="00171932">
          <w:fldChar w:fldCharType="begin"/>
        </w:r>
        <w:r w:rsidR="00171932">
          <w:instrText xml:space="preserve"> PAGEREF _Toc9893 \h </w:instrText>
        </w:r>
        <w:r w:rsidR="00171932">
          <w:fldChar w:fldCharType="separate"/>
        </w:r>
        <w:r w:rsidR="00171932">
          <w:t>9</w:t>
        </w:r>
        <w:r w:rsidR="00171932">
          <w:fldChar w:fldCharType="end"/>
        </w:r>
      </w:hyperlink>
    </w:p>
    <w:p w:rsidR="00171932" w:rsidRDefault="00C770DD" w:rsidP="00171932">
      <w:pPr>
        <w:pStyle w:val="30"/>
        <w:tabs>
          <w:tab w:val="right" w:leader="dot" w:pos="8306"/>
        </w:tabs>
      </w:pPr>
      <w:hyperlink w:anchor="_Toc11726" w:history="1">
        <w:r w:rsidR="00171932">
          <w:rPr>
            <w:rFonts w:hint="eastAsia"/>
          </w:rPr>
          <w:t>6</w:t>
        </w:r>
        <w:r w:rsidR="00171932">
          <w:rPr>
            <w:rFonts w:hint="eastAsia"/>
          </w:rPr>
          <w:t>、员工培训和发展</w:t>
        </w:r>
        <w:r w:rsidR="00171932">
          <w:tab/>
        </w:r>
        <w:r w:rsidR="00171932">
          <w:fldChar w:fldCharType="begin"/>
        </w:r>
        <w:r w:rsidR="00171932">
          <w:instrText xml:space="preserve"> PAGEREF _Toc11726 \h </w:instrText>
        </w:r>
        <w:r w:rsidR="00171932">
          <w:fldChar w:fldCharType="separate"/>
        </w:r>
        <w:r w:rsidR="00171932">
          <w:t>10</w:t>
        </w:r>
        <w:r w:rsidR="00171932">
          <w:fldChar w:fldCharType="end"/>
        </w:r>
      </w:hyperlink>
    </w:p>
    <w:p w:rsidR="00171932" w:rsidRDefault="00C770DD" w:rsidP="00171932">
      <w:pPr>
        <w:pStyle w:val="20"/>
        <w:tabs>
          <w:tab w:val="right" w:leader="dot" w:pos="8306"/>
        </w:tabs>
      </w:pPr>
      <w:hyperlink w:anchor="_Toc20918" w:history="1">
        <w:r w:rsidR="00171932">
          <w:rPr>
            <w:rFonts w:hint="eastAsia"/>
          </w:rPr>
          <w:t>九、社会责任</w:t>
        </w:r>
        <w:r w:rsidR="00171932">
          <w:tab/>
        </w:r>
        <w:r w:rsidR="00171932">
          <w:fldChar w:fldCharType="begin"/>
        </w:r>
        <w:r w:rsidR="00171932">
          <w:instrText xml:space="preserve"> PAGEREF _Toc20918 \h </w:instrText>
        </w:r>
        <w:r w:rsidR="00171932">
          <w:fldChar w:fldCharType="separate"/>
        </w:r>
        <w:r w:rsidR="00171932">
          <w:t>11</w:t>
        </w:r>
        <w:r w:rsidR="00171932">
          <w:fldChar w:fldCharType="end"/>
        </w:r>
      </w:hyperlink>
    </w:p>
    <w:p w:rsidR="00171932" w:rsidRDefault="00C770DD" w:rsidP="00171932">
      <w:pPr>
        <w:pStyle w:val="20"/>
        <w:tabs>
          <w:tab w:val="right" w:leader="dot" w:pos="8306"/>
        </w:tabs>
      </w:pPr>
      <w:hyperlink w:anchor="_Toc24258" w:history="1">
        <w:r w:rsidR="00171932">
          <w:rPr>
            <w:rFonts w:ascii="宋体" w:hAnsi="宋体" w:hint="eastAsia"/>
          </w:rPr>
          <w:t>提要</w:t>
        </w:r>
        <w:r w:rsidR="00171932">
          <w:tab/>
        </w:r>
        <w:r w:rsidR="00171932">
          <w:fldChar w:fldCharType="begin"/>
        </w:r>
        <w:r w:rsidR="00171932">
          <w:instrText xml:space="preserve"> PAGEREF _Toc24258 \h </w:instrText>
        </w:r>
        <w:r w:rsidR="00171932">
          <w:fldChar w:fldCharType="separate"/>
        </w:r>
        <w:r w:rsidR="00171932">
          <w:t>11</w:t>
        </w:r>
        <w:r w:rsidR="00171932">
          <w:fldChar w:fldCharType="end"/>
        </w:r>
      </w:hyperlink>
    </w:p>
    <w:p w:rsidR="00171932" w:rsidRDefault="00C770DD" w:rsidP="00171932">
      <w:pPr>
        <w:pStyle w:val="20"/>
        <w:tabs>
          <w:tab w:val="right" w:leader="dot" w:pos="8306"/>
        </w:tabs>
      </w:pPr>
      <w:hyperlink w:anchor="_Toc7813" w:history="1">
        <w:r w:rsidR="00171932">
          <w:rPr>
            <w:rFonts w:ascii="宋体" w:hAnsi="宋体" w:hint="eastAsia"/>
          </w:rPr>
          <w:t>1、公共责任</w:t>
        </w:r>
        <w:r w:rsidR="00171932">
          <w:tab/>
        </w:r>
        <w:r w:rsidR="00171932">
          <w:fldChar w:fldCharType="begin"/>
        </w:r>
        <w:r w:rsidR="00171932">
          <w:instrText xml:space="preserve"> PAGEREF _Toc7813 \h </w:instrText>
        </w:r>
        <w:r w:rsidR="00171932">
          <w:fldChar w:fldCharType="separate"/>
        </w:r>
        <w:r w:rsidR="00171932">
          <w:t>11</w:t>
        </w:r>
        <w:r w:rsidR="00171932">
          <w:fldChar w:fldCharType="end"/>
        </w:r>
      </w:hyperlink>
    </w:p>
    <w:p w:rsidR="00171932" w:rsidRDefault="00C770DD" w:rsidP="00171932">
      <w:pPr>
        <w:pStyle w:val="20"/>
        <w:tabs>
          <w:tab w:val="right" w:leader="dot" w:pos="8306"/>
        </w:tabs>
      </w:pPr>
      <w:hyperlink w:anchor="_Toc30452" w:history="1">
        <w:r w:rsidR="00171932">
          <w:rPr>
            <w:rFonts w:ascii="宋体" w:hAnsi="宋体" w:hint="eastAsia"/>
          </w:rPr>
          <w:t>2、道德行为</w:t>
        </w:r>
        <w:r w:rsidR="00171932">
          <w:tab/>
        </w:r>
        <w:r w:rsidR="00171932">
          <w:fldChar w:fldCharType="begin"/>
        </w:r>
        <w:r w:rsidR="00171932">
          <w:instrText xml:space="preserve"> PAGEREF _Toc30452 \h </w:instrText>
        </w:r>
        <w:r w:rsidR="00171932">
          <w:fldChar w:fldCharType="separate"/>
        </w:r>
        <w:r w:rsidR="00171932">
          <w:t>13</w:t>
        </w:r>
        <w:r w:rsidR="00171932">
          <w:fldChar w:fldCharType="end"/>
        </w:r>
      </w:hyperlink>
    </w:p>
    <w:p w:rsidR="00171932" w:rsidRDefault="00C770DD" w:rsidP="00171932">
      <w:pPr>
        <w:pStyle w:val="20"/>
        <w:tabs>
          <w:tab w:val="right" w:leader="dot" w:pos="8306"/>
        </w:tabs>
      </w:pPr>
      <w:hyperlink w:anchor="_Toc307" w:history="1">
        <w:r w:rsidR="00171932">
          <w:rPr>
            <w:rFonts w:ascii="宋体" w:hAnsi="宋体" w:hint="eastAsia"/>
          </w:rPr>
          <w:t>3、自愿开展公益支持：</w:t>
        </w:r>
        <w:r w:rsidR="00171932">
          <w:tab/>
        </w:r>
        <w:r w:rsidR="00171932">
          <w:fldChar w:fldCharType="begin"/>
        </w:r>
        <w:r w:rsidR="00171932">
          <w:instrText xml:space="preserve"> PAGEREF _Toc307 \h </w:instrText>
        </w:r>
        <w:r w:rsidR="00171932">
          <w:fldChar w:fldCharType="separate"/>
        </w:r>
        <w:r w:rsidR="00171932">
          <w:t>15</w:t>
        </w:r>
        <w:r w:rsidR="00171932">
          <w:fldChar w:fldCharType="end"/>
        </w:r>
      </w:hyperlink>
    </w:p>
    <w:p w:rsidR="00C75D7B" w:rsidRDefault="00171932" w:rsidP="00171932">
      <w:r>
        <w:rPr>
          <w:rFonts w:hint="eastAsia"/>
        </w:rPr>
        <w:fldChar w:fldCharType="end"/>
      </w:r>
    </w:p>
    <w:p w:rsidR="00C75D7B" w:rsidRDefault="00C75D7B"/>
    <w:p w:rsidR="00C75D7B" w:rsidRDefault="00C75D7B"/>
    <w:p w:rsidR="00C75D7B" w:rsidRDefault="00C75D7B"/>
    <w:p w:rsidR="00C75D7B" w:rsidRDefault="00C75D7B"/>
    <w:p w:rsidR="00C75D7B" w:rsidRDefault="00C75D7B">
      <w:pPr>
        <w:pStyle w:val="2"/>
        <w:spacing w:line="360" w:lineRule="auto"/>
        <w:jc w:val="left"/>
        <w:sectPr w:rsidR="00C75D7B">
          <w:headerReference w:type="default" r:id="rId11"/>
          <w:pgSz w:w="11906" w:h="16838"/>
          <w:pgMar w:top="1440" w:right="1800" w:bottom="1440" w:left="1800" w:header="851" w:footer="992" w:gutter="0"/>
          <w:cols w:space="720"/>
          <w:docGrid w:type="lines" w:linePitch="312"/>
        </w:sectPr>
      </w:pPr>
    </w:p>
    <w:p w:rsidR="00C75D7B" w:rsidRDefault="007900C0">
      <w:pPr>
        <w:pStyle w:val="2"/>
        <w:spacing w:line="360" w:lineRule="auto"/>
        <w:jc w:val="left"/>
      </w:pPr>
      <w:bookmarkStart w:id="3" w:name="_Toc17610"/>
      <w:r>
        <w:rPr>
          <w:rFonts w:hint="eastAsia"/>
        </w:rPr>
        <w:lastRenderedPageBreak/>
        <w:t>一、公司简介：</w:t>
      </w:r>
      <w:bookmarkEnd w:id="3"/>
    </w:p>
    <w:p w:rsidR="00C75D7B" w:rsidRDefault="007900C0">
      <w:pPr>
        <w:pStyle w:val="xmsonormal"/>
        <w:spacing w:line="360" w:lineRule="auto"/>
        <w:ind w:left="90" w:firstLineChars="200" w:firstLine="480"/>
        <w:textAlignment w:val="baseline"/>
        <w:rPr>
          <w:rFonts w:ascii="宋体" w:hAnsi="宋体" w:cs="宋体"/>
          <w:color w:val="000000" w:themeColor="text1"/>
          <w:sz w:val="24"/>
          <w:szCs w:val="24"/>
          <w:lang w:val="en-US" w:eastAsia="zh-CN"/>
        </w:rPr>
      </w:pPr>
      <w:r>
        <w:rPr>
          <w:rFonts w:ascii="宋体" w:hAnsi="宋体" w:cs="宋体" w:hint="eastAsia"/>
          <w:color w:val="000000" w:themeColor="text1"/>
          <w:sz w:val="24"/>
          <w:szCs w:val="24"/>
          <w:lang w:val="en-US" w:eastAsia="zh-CN"/>
        </w:rPr>
        <w:t>宿迁新亚科技有限公司成立于 2010 年，是一家致力于胺类精细化工产品及高端微电子化学品研发和生产的国家高新技术企业。</w:t>
      </w:r>
    </w:p>
    <w:p w:rsidR="00C75D7B" w:rsidRDefault="007900C0">
      <w:pPr>
        <w:pStyle w:val="xmsonormal"/>
        <w:spacing w:line="360" w:lineRule="auto"/>
        <w:ind w:left="90" w:firstLineChars="200" w:firstLine="480"/>
        <w:textAlignment w:val="baseline"/>
        <w:rPr>
          <w:rFonts w:ascii="宋体" w:hAnsi="宋体" w:cs="宋体"/>
          <w:color w:val="000000" w:themeColor="text1"/>
          <w:sz w:val="24"/>
          <w:szCs w:val="24"/>
          <w:lang w:val="en-US" w:eastAsia="zh-CN"/>
        </w:rPr>
      </w:pPr>
      <w:r>
        <w:rPr>
          <w:rFonts w:ascii="宋体" w:hAnsi="宋体" w:cs="宋体" w:hint="eastAsia"/>
          <w:color w:val="000000" w:themeColor="text1"/>
          <w:sz w:val="24"/>
          <w:szCs w:val="24"/>
          <w:lang w:val="en-US" w:eastAsia="zh-CN"/>
        </w:rPr>
        <w:t>公司先后荣获国家单项冠军企业、国家专精特新“小巨人”企业、江苏省瞪羚企业等荣誉称号。拥有江苏省甲酸甲酯系列产品工程技术研究中心、宿迁市企业技术中心、宿迁市重点实验室等研发平台。通过了质量、环境、职业健康安全、能源管理体系认证。公司共有知识产权85件，参与制定国家标准2项，行业标准3项，企业标准7项，1项团体标准正在申请中。</w:t>
      </w:r>
    </w:p>
    <w:p w:rsidR="00C75D7B" w:rsidRDefault="007900C0">
      <w:pPr>
        <w:pStyle w:val="xmsonormal"/>
        <w:spacing w:line="360" w:lineRule="auto"/>
        <w:ind w:left="90" w:firstLineChars="200" w:firstLine="480"/>
        <w:textAlignment w:val="baseline"/>
        <w:rPr>
          <w:rFonts w:ascii="宋体" w:hAnsi="宋体" w:cs="宋体"/>
          <w:color w:val="000000" w:themeColor="text1"/>
          <w:sz w:val="24"/>
          <w:szCs w:val="24"/>
          <w:lang w:val="en-US" w:eastAsia="zh-CN"/>
        </w:rPr>
      </w:pPr>
      <w:r>
        <w:rPr>
          <w:rFonts w:ascii="宋体" w:hAnsi="宋体" w:cs="宋体" w:hint="eastAsia"/>
          <w:color w:val="000000" w:themeColor="text1"/>
          <w:sz w:val="24"/>
          <w:szCs w:val="24"/>
          <w:lang w:val="en-US" w:eastAsia="zh-CN"/>
        </w:rPr>
        <w:t>公司产品主要应用于医药、农药、新材料、电子化学品等领域。主要出口东南亚、欧美等地，是国内胺类精细化工产品生产基地。其中N-甲基甲酰胺是光刻胶剥离液中关键材料，为生产芯片提供高品质的有机溶剂，有效支撑了京东方、华星光电等半导体企业的研发生产。国内市场占有率及排名第一。同时还是LG和三星等知名企业的重要供应商，全球市场占有率及排名第一。</w:t>
      </w:r>
    </w:p>
    <w:p w:rsidR="00C75D7B" w:rsidRDefault="007900C0">
      <w:r>
        <w:rPr>
          <w:rFonts w:hint="eastAsia"/>
        </w:rPr>
        <w:br w:type="page"/>
      </w:r>
    </w:p>
    <w:p w:rsidR="00C75D7B" w:rsidRDefault="007900C0">
      <w:pPr>
        <w:pStyle w:val="2"/>
        <w:numPr>
          <w:ilvl w:val="0"/>
          <w:numId w:val="1"/>
        </w:numPr>
        <w:spacing w:line="360" w:lineRule="auto"/>
      </w:pPr>
      <w:bookmarkStart w:id="4" w:name="_Toc31400"/>
      <w:r>
        <w:rPr>
          <w:rFonts w:hint="eastAsia"/>
        </w:rPr>
        <w:lastRenderedPageBreak/>
        <w:t>经营状况：</w:t>
      </w:r>
      <w:bookmarkEnd w:id="4"/>
    </w:p>
    <w:p w:rsidR="001C5B5D" w:rsidRPr="001C5B5D" w:rsidRDefault="001C5B5D" w:rsidP="001C5B5D">
      <w:pPr>
        <w:jc w:val="center"/>
        <w:rPr>
          <w:rFonts w:hint="eastAsia"/>
          <w:sz w:val="24"/>
          <w:szCs w:val="24"/>
        </w:rPr>
      </w:pPr>
      <w:r w:rsidRPr="001C5B5D">
        <w:rPr>
          <w:rFonts w:ascii="宋体" w:hAnsi="宋体" w:hint="eastAsia"/>
          <w:sz w:val="24"/>
          <w:szCs w:val="24"/>
        </w:rPr>
        <w:t>近三年公司经营情况数据报表</w:t>
      </w:r>
    </w:p>
    <w:tbl>
      <w:tblPr>
        <w:tblStyle w:val="a6"/>
        <w:tblW w:w="5000" w:type="pct"/>
        <w:tblLook w:val="04A0" w:firstRow="1" w:lastRow="0" w:firstColumn="1" w:lastColumn="0" w:noHBand="0" w:noVBand="1"/>
      </w:tblPr>
      <w:tblGrid>
        <w:gridCol w:w="1242"/>
        <w:gridCol w:w="1559"/>
        <w:gridCol w:w="1984"/>
        <w:gridCol w:w="1560"/>
        <w:gridCol w:w="2177"/>
      </w:tblGrid>
      <w:tr w:rsidR="00B0193D" w:rsidRPr="001C5B5D" w:rsidTr="00B0193D">
        <w:trPr>
          <w:trHeight w:val="1305"/>
        </w:trPr>
        <w:tc>
          <w:tcPr>
            <w:tcW w:w="729" w:type="pct"/>
            <w:tcBorders>
              <w:top w:val="single" w:sz="4" w:space="0" w:color="auto"/>
              <w:left w:val="single" w:sz="4" w:space="0" w:color="auto"/>
              <w:bottom w:val="single" w:sz="4" w:space="0" w:color="auto"/>
              <w:right w:val="single" w:sz="4" w:space="0" w:color="auto"/>
            </w:tcBorders>
            <w:vAlign w:val="center"/>
          </w:tcPr>
          <w:p w:rsidR="001C5B5D" w:rsidRPr="001C5B5D" w:rsidRDefault="001C5B5D">
            <w:pPr>
              <w:widowControl/>
              <w:jc w:val="center"/>
              <w:textAlignment w:val="center"/>
              <w:rPr>
                <w:sz w:val="24"/>
                <w:szCs w:val="24"/>
              </w:rPr>
            </w:pPr>
            <w:r>
              <w:rPr>
                <w:sz w:val="24"/>
                <w:szCs w:val="24"/>
              </w:rPr>
              <w:t>年度</w:t>
            </w:r>
          </w:p>
        </w:tc>
        <w:tc>
          <w:tcPr>
            <w:tcW w:w="915" w:type="pct"/>
            <w:tcBorders>
              <w:top w:val="single" w:sz="4" w:space="0" w:color="auto"/>
              <w:left w:val="single" w:sz="4" w:space="0" w:color="auto"/>
              <w:bottom w:val="single" w:sz="4" w:space="0" w:color="auto"/>
              <w:right w:val="single" w:sz="4" w:space="0" w:color="auto"/>
            </w:tcBorders>
            <w:vAlign w:val="center"/>
            <w:hideMark/>
          </w:tcPr>
          <w:p w:rsidR="001C5B5D" w:rsidRPr="001C5B5D" w:rsidRDefault="001C5B5D">
            <w:pPr>
              <w:widowControl/>
              <w:jc w:val="center"/>
              <w:textAlignment w:val="center"/>
              <w:rPr>
                <w:sz w:val="24"/>
                <w:szCs w:val="24"/>
              </w:rPr>
            </w:pPr>
            <w:r w:rsidRPr="001C5B5D">
              <w:rPr>
                <w:rFonts w:ascii="宋体" w:hAnsi="宋体" w:hint="eastAsia"/>
                <w:color w:val="000000"/>
                <w:kern w:val="0"/>
                <w:sz w:val="24"/>
                <w:szCs w:val="24"/>
              </w:rPr>
              <w:t>产值（万元）</w:t>
            </w:r>
          </w:p>
        </w:tc>
        <w:tc>
          <w:tcPr>
            <w:tcW w:w="1164" w:type="pct"/>
            <w:tcBorders>
              <w:top w:val="single" w:sz="4" w:space="0" w:color="auto"/>
              <w:left w:val="single" w:sz="4" w:space="0" w:color="auto"/>
              <w:bottom w:val="single" w:sz="4" w:space="0" w:color="auto"/>
              <w:right w:val="single" w:sz="4" w:space="0" w:color="auto"/>
            </w:tcBorders>
            <w:vAlign w:val="center"/>
            <w:hideMark/>
          </w:tcPr>
          <w:p w:rsidR="001C5B5D" w:rsidRPr="001C5B5D" w:rsidRDefault="001C5B5D">
            <w:pPr>
              <w:widowControl/>
              <w:jc w:val="center"/>
              <w:textAlignment w:val="center"/>
              <w:rPr>
                <w:sz w:val="24"/>
                <w:szCs w:val="24"/>
              </w:rPr>
            </w:pPr>
            <w:r w:rsidRPr="001C5B5D">
              <w:rPr>
                <w:rFonts w:ascii="宋体" w:hAnsi="宋体" w:hint="eastAsia"/>
                <w:color w:val="000000"/>
                <w:kern w:val="0"/>
                <w:sz w:val="24"/>
                <w:szCs w:val="24"/>
              </w:rPr>
              <w:t>营业收入（万元）</w:t>
            </w:r>
          </w:p>
        </w:tc>
        <w:tc>
          <w:tcPr>
            <w:tcW w:w="915" w:type="pct"/>
            <w:tcBorders>
              <w:top w:val="single" w:sz="4" w:space="0" w:color="auto"/>
              <w:left w:val="single" w:sz="4" w:space="0" w:color="auto"/>
              <w:bottom w:val="single" w:sz="4" w:space="0" w:color="auto"/>
              <w:right w:val="single" w:sz="4" w:space="0" w:color="auto"/>
            </w:tcBorders>
            <w:vAlign w:val="center"/>
            <w:hideMark/>
          </w:tcPr>
          <w:p w:rsidR="001C5B5D" w:rsidRPr="001C5B5D" w:rsidRDefault="001C5B5D">
            <w:pPr>
              <w:widowControl/>
              <w:jc w:val="center"/>
              <w:textAlignment w:val="center"/>
              <w:rPr>
                <w:sz w:val="24"/>
                <w:szCs w:val="24"/>
              </w:rPr>
            </w:pPr>
            <w:r w:rsidRPr="001C5B5D">
              <w:rPr>
                <w:rFonts w:ascii="宋体" w:hAnsi="宋体" w:hint="eastAsia"/>
                <w:color w:val="000000"/>
                <w:kern w:val="0"/>
                <w:sz w:val="24"/>
                <w:szCs w:val="24"/>
              </w:rPr>
              <w:t>税收（万元）</w:t>
            </w:r>
          </w:p>
        </w:tc>
        <w:tc>
          <w:tcPr>
            <w:tcW w:w="1277" w:type="pct"/>
            <w:tcBorders>
              <w:top w:val="single" w:sz="4" w:space="0" w:color="auto"/>
              <w:left w:val="single" w:sz="4" w:space="0" w:color="auto"/>
              <w:bottom w:val="single" w:sz="4" w:space="0" w:color="auto"/>
              <w:right w:val="single" w:sz="4" w:space="0" w:color="auto"/>
            </w:tcBorders>
            <w:vAlign w:val="center"/>
            <w:hideMark/>
          </w:tcPr>
          <w:p w:rsidR="001C5B5D" w:rsidRPr="001C5B5D" w:rsidRDefault="001C5B5D">
            <w:pPr>
              <w:widowControl/>
              <w:jc w:val="center"/>
              <w:textAlignment w:val="center"/>
              <w:rPr>
                <w:sz w:val="24"/>
                <w:szCs w:val="24"/>
              </w:rPr>
            </w:pPr>
            <w:r w:rsidRPr="001C5B5D">
              <w:rPr>
                <w:rFonts w:ascii="宋体" w:hAnsi="宋体" w:hint="eastAsia"/>
                <w:color w:val="000000"/>
                <w:kern w:val="0"/>
                <w:sz w:val="24"/>
                <w:szCs w:val="24"/>
              </w:rPr>
              <w:t>工业增加值（万元）</w:t>
            </w:r>
          </w:p>
        </w:tc>
      </w:tr>
      <w:tr w:rsidR="00B0193D" w:rsidRPr="001C5B5D" w:rsidTr="00B0193D">
        <w:trPr>
          <w:trHeight w:val="633"/>
        </w:trPr>
        <w:tc>
          <w:tcPr>
            <w:tcW w:w="729" w:type="pct"/>
            <w:tcBorders>
              <w:top w:val="single" w:sz="4" w:space="0" w:color="auto"/>
              <w:left w:val="single" w:sz="4" w:space="0" w:color="auto"/>
              <w:bottom w:val="single" w:sz="4" w:space="0" w:color="auto"/>
              <w:right w:val="single" w:sz="4" w:space="0" w:color="auto"/>
            </w:tcBorders>
            <w:vAlign w:val="center"/>
            <w:hideMark/>
          </w:tcPr>
          <w:p w:rsidR="001C5B5D" w:rsidRPr="001C5B5D" w:rsidRDefault="001C5B5D">
            <w:pPr>
              <w:widowControl/>
              <w:jc w:val="center"/>
              <w:textAlignment w:val="center"/>
              <w:rPr>
                <w:sz w:val="24"/>
                <w:szCs w:val="24"/>
              </w:rPr>
            </w:pPr>
            <w:r w:rsidRPr="001C5B5D">
              <w:rPr>
                <w:rFonts w:ascii="宋体" w:hAnsi="宋体" w:hint="eastAsia"/>
                <w:color w:val="000000"/>
                <w:kern w:val="0"/>
                <w:sz w:val="24"/>
                <w:szCs w:val="24"/>
              </w:rPr>
              <w:t>2022</w:t>
            </w:r>
          </w:p>
        </w:tc>
        <w:tc>
          <w:tcPr>
            <w:tcW w:w="915" w:type="pct"/>
            <w:tcBorders>
              <w:top w:val="single" w:sz="4" w:space="0" w:color="auto"/>
              <w:left w:val="single" w:sz="4" w:space="0" w:color="auto"/>
              <w:bottom w:val="single" w:sz="4" w:space="0" w:color="auto"/>
              <w:right w:val="single" w:sz="4" w:space="0" w:color="auto"/>
            </w:tcBorders>
            <w:vAlign w:val="center"/>
            <w:hideMark/>
          </w:tcPr>
          <w:p w:rsidR="001C5B5D" w:rsidRPr="001C5B5D" w:rsidRDefault="001C5B5D">
            <w:pPr>
              <w:widowControl/>
              <w:jc w:val="center"/>
              <w:textAlignment w:val="center"/>
              <w:rPr>
                <w:color w:val="000000"/>
                <w:sz w:val="24"/>
                <w:szCs w:val="24"/>
                <w:highlight w:val="red"/>
              </w:rPr>
            </w:pPr>
            <w:r w:rsidRPr="001C5B5D">
              <w:rPr>
                <w:rFonts w:ascii="宋体" w:hAnsi="宋体" w:hint="eastAsia"/>
                <w:color w:val="000000"/>
                <w:kern w:val="0"/>
                <w:sz w:val="24"/>
                <w:szCs w:val="24"/>
              </w:rPr>
              <w:t xml:space="preserve">65495.13 </w:t>
            </w:r>
          </w:p>
        </w:tc>
        <w:tc>
          <w:tcPr>
            <w:tcW w:w="1164" w:type="pct"/>
            <w:tcBorders>
              <w:top w:val="single" w:sz="4" w:space="0" w:color="auto"/>
              <w:left w:val="single" w:sz="4" w:space="0" w:color="auto"/>
              <w:bottom w:val="single" w:sz="4" w:space="0" w:color="auto"/>
              <w:right w:val="single" w:sz="4" w:space="0" w:color="auto"/>
            </w:tcBorders>
            <w:vAlign w:val="center"/>
            <w:hideMark/>
          </w:tcPr>
          <w:p w:rsidR="001C5B5D" w:rsidRPr="001C5B5D" w:rsidRDefault="001C5B5D">
            <w:pPr>
              <w:widowControl/>
              <w:jc w:val="center"/>
              <w:textAlignment w:val="center"/>
              <w:rPr>
                <w:color w:val="000000"/>
                <w:sz w:val="24"/>
                <w:szCs w:val="24"/>
                <w:highlight w:val="red"/>
              </w:rPr>
            </w:pPr>
            <w:r w:rsidRPr="001C5B5D">
              <w:rPr>
                <w:rFonts w:ascii="宋体" w:hAnsi="宋体" w:hint="eastAsia"/>
                <w:color w:val="000000"/>
                <w:kern w:val="0"/>
                <w:sz w:val="24"/>
                <w:szCs w:val="24"/>
              </w:rPr>
              <w:t xml:space="preserve">68102.97 </w:t>
            </w:r>
          </w:p>
        </w:tc>
        <w:tc>
          <w:tcPr>
            <w:tcW w:w="915" w:type="pct"/>
            <w:tcBorders>
              <w:top w:val="single" w:sz="4" w:space="0" w:color="auto"/>
              <w:left w:val="single" w:sz="4" w:space="0" w:color="auto"/>
              <w:bottom w:val="single" w:sz="4" w:space="0" w:color="auto"/>
              <w:right w:val="single" w:sz="4" w:space="0" w:color="auto"/>
            </w:tcBorders>
            <w:vAlign w:val="center"/>
            <w:hideMark/>
          </w:tcPr>
          <w:p w:rsidR="001C5B5D" w:rsidRPr="001C5B5D" w:rsidRDefault="001C5B5D">
            <w:pPr>
              <w:widowControl/>
              <w:jc w:val="center"/>
              <w:textAlignment w:val="center"/>
              <w:rPr>
                <w:color w:val="000000"/>
                <w:sz w:val="24"/>
                <w:szCs w:val="24"/>
                <w:highlight w:val="red"/>
              </w:rPr>
            </w:pPr>
            <w:r w:rsidRPr="001C5B5D">
              <w:rPr>
                <w:rFonts w:ascii="宋体" w:hAnsi="宋体" w:hint="eastAsia"/>
                <w:color w:val="000000"/>
                <w:kern w:val="0"/>
                <w:sz w:val="24"/>
                <w:szCs w:val="24"/>
              </w:rPr>
              <w:t xml:space="preserve">8579.98 </w:t>
            </w:r>
          </w:p>
        </w:tc>
        <w:tc>
          <w:tcPr>
            <w:tcW w:w="1277" w:type="pct"/>
            <w:tcBorders>
              <w:top w:val="single" w:sz="4" w:space="0" w:color="auto"/>
              <w:left w:val="single" w:sz="4" w:space="0" w:color="auto"/>
              <w:bottom w:val="single" w:sz="4" w:space="0" w:color="auto"/>
              <w:right w:val="single" w:sz="4" w:space="0" w:color="auto"/>
            </w:tcBorders>
            <w:vAlign w:val="center"/>
            <w:hideMark/>
          </w:tcPr>
          <w:p w:rsidR="001C5B5D" w:rsidRPr="001C5B5D" w:rsidRDefault="001C5B5D">
            <w:pPr>
              <w:widowControl/>
              <w:jc w:val="center"/>
              <w:textAlignment w:val="center"/>
              <w:rPr>
                <w:color w:val="000000"/>
                <w:sz w:val="24"/>
                <w:szCs w:val="24"/>
                <w:highlight w:val="red"/>
              </w:rPr>
            </w:pPr>
            <w:r w:rsidRPr="001C5B5D">
              <w:rPr>
                <w:rFonts w:ascii="宋体" w:hAnsi="宋体" w:hint="eastAsia"/>
                <w:color w:val="000000"/>
                <w:kern w:val="0"/>
                <w:sz w:val="24"/>
                <w:szCs w:val="24"/>
              </w:rPr>
              <w:t xml:space="preserve">28081.75 </w:t>
            </w:r>
          </w:p>
        </w:tc>
      </w:tr>
      <w:tr w:rsidR="00B0193D" w:rsidRPr="001C5B5D" w:rsidTr="00B0193D">
        <w:trPr>
          <w:trHeight w:val="633"/>
        </w:trPr>
        <w:tc>
          <w:tcPr>
            <w:tcW w:w="729" w:type="pct"/>
            <w:tcBorders>
              <w:top w:val="single" w:sz="4" w:space="0" w:color="auto"/>
              <w:left w:val="single" w:sz="4" w:space="0" w:color="auto"/>
              <w:bottom w:val="single" w:sz="4" w:space="0" w:color="auto"/>
              <w:right w:val="single" w:sz="4" w:space="0" w:color="auto"/>
            </w:tcBorders>
            <w:vAlign w:val="center"/>
            <w:hideMark/>
          </w:tcPr>
          <w:p w:rsidR="001C5B5D" w:rsidRPr="001C5B5D" w:rsidRDefault="001C5B5D">
            <w:pPr>
              <w:widowControl/>
              <w:jc w:val="center"/>
              <w:textAlignment w:val="center"/>
              <w:rPr>
                <w:sz w:val="24"/>
                <w:szCs w:val="24"/>
              </w:rPr>
            </w:pPr>
            <w:r w:rsidRPr="001C5B5D">
              <w:rPr>
                <w:rFonts w:ascii="宋体" w:hAnsi="宋体" w:hint="eastAsia"/>
                <w:color w:val="000000"/>
                <w:kern w:val="0"/>
                <w:sz w:val="24"/>
                <w:szCs w:val="24"/>
              </w:rPr>
              <w:t>2023</w:t>
            </w:r>
          </w:p>
        </w:tc>
        <w:tc>
          <w:tcPr>
            <w:tcW w:w="915" w:type="pct"/>
            <w:tcBorders>
              <w:top w:val="single" w:sz="4" w:space="0" w:color="auto"/>
              <w:left w:val="single" w:sz="4" w:space="0" w:color="auto"/>
              <w:bottom w:val="single" w:sz="4" w:space="0" w:color="auto"/>
              <w:right w:val="single" w:sz="4" w:space="0" w:color="auto"/>
            </w:tcBorders>
            <w:vAlign w:val="center"/>
            <w:hideMark/>
          </w:tcPr>
          <w:p w:rsidR="001C5B5D" w:rsidRPr="001C5B5D" w:rsidRDefault="001C5B5D">
            <w:pPr>
              <w:widowControl/>
              <w:jc w:val="center"/>
              <w:textAlignment w:val="center"/>
              <w:rPr>
                <w:color w:val="000000"/>
                <w:sz w:val="24"/>
                <w:szCs w:val="24"/>
                <w:highlight w:val="red"/>
              </w:rPr>
            </w:pPr>
            <w:r w:rsidRPr="001C5B5D">
              <w:rPr>
                <w:rFonts w:ascii="宋体" w:hAnsi="宋体" w:hint="eastAsia"/>
                <w:color w:val="000000"/>
                <w:kern w:val="0"/>
                <w:sz w:val="24"/>
                <w:szCs w:val="24"/>
              </w:rPr>
              <w:t xml:space="preserve">44857.69 </w:t>
            </w:r>
          </w:p>
        </w:tc>
        <w:tc>
          <w:tcPr>
            <w:tcW w:w="1164" w:type="pct"/>
            <w:tcBorders>
              <w:top w:val="single" w:sz="4" w:space="0" w:color="auto"/>
              <w:left w:val="single" w:sz="4" w:space="0" w:color="auto"/>
              <w:bottom w:val="single" w:sz="4" w:space="0" w:color="auto"/>
              <w:right w:val="single" w:sz="4" w:space="0" w:color="auto"/>
            </w:tcBorders>
            <w:vAlign w:val="center"/>
            <w:hideMark/>
          </w:tcPr>
          <w:p w:rsidR="001C5B5D" w:rsidRPr="001C5B5D" w:rsidRDefault="001C5B5D">
            <w:pPr>
              <w:widowControl/>
              <w:jc w:val="center"/>
              <w:textAlignment w:val="center"/>
              <w:rPr>
                <w:color w:val="000000"/>
                <w:sz w:val="24"/>
                <w:szCs w:val="24"/>
                <w:highlight w:val="red"/>
              </w:rPr>
            </w:pPr>
            <w:r w:rsidRPr="001C5B5D">
              <w:rPr>
                <w:rFonts w:ascii="宋体" w:hAnsi="宋体" w:hint="eastAsia"/>
                <w:color w:val="000000"/>
                <w:kern w:val="0"/>
                <w:sz w:val="24"/>
                <w:szCs w:val="24"/>
              </w:rPr>
              <w:t xml:space="preserve">45822.25 </w:t>
            </w:r>
          </w:p>
        </w:tc>
        <w:tc>
          <w:tcPr>
            <w:tcW w:w="915" w:type="pct"/>
            <w:tcBorders>
              <w:top w:val="single" w:sz="4" w:space="0" w:color="auto"/>
              <w:left w:val="single" w:sz="4" w:space="0" w:color="auto"/>
              <w:bottom w:val="single" w:sz="4" w:space="0" w:color="auto"/>
              <w:right w:val="single" w:sz="4" w:space="0" w:color="auto"/>
            </w:tcBorders>
            <w:vAlign w:val="center"/>
            <w:hideMark/>
          </w:tcPr>
          <w:p w:rsidR="001C5B5D" w:rsidRPr="001C5B5D" w:rsidRDefault="001C5B5D">
            <w:pPr>
              <w:widowControl/>
              <w:jc w:val="center"/>
              <w:textAlignment w:val="center"/>
              <w:rPr>
                <w:color w:val="000000"/>
                <w:sz w:val="24"/>
                <w:szCs w:val="24"/>
                <w:highlight w:val="red"/>
              </w:rPr>
            </w:pPr>
            <w:r w:rsidRPr="001C5B5D">
              <w:rPr>
                <w:rFonts w:ascii="宋体" w:hAnsi="宋体" w:hint="eastAsia"/>
                <w:color w:val="000000"/>
                <w:kern w:val="0"/>
                <w:sz w:val="24"/>
                <w:szCs w:val="24"/>
              </w:rPr>
              <w:t xml:space="preserve">3176.81 </w:t>
            </w:r>
          </w:p>
        </w:tc>
        <w:tc>
          <w:tcPr>
            <w:tcW w:w="1277" w:type="pct"/>
            <w:tcBorders>
              <w:top w:val="single" w:sz="4" w:space="0" w:color="auto"/>
              <w:left w:val="single" w:sz="4" w:space="0" w:color="auto"/>
              <w:bottom w:val="single" w:sz="4" w:space="0" w:color="auto"/>
              <w:right w:val="single" w:sz="4" w:space="0" w:color="auto"/>
            </w:tcBorders>
            <w:vAlign w:val="center"/>
            <w:hideMark/>
          </w:tcPr>
          <w:p w:rsidR="001C5B5D" w:rsidRPr="001C5B5D" w:rsidRDefault="001C5B5D">
            <w:pPr>
              <w:widowControl/>
              <w:jc w:val="center"/>
              <w:textAlignment w:val="center"/>
              <w:rPr>
                <w:color w:val="000000"/>
                <w:sz w:val="24"/>
                <w:szCs w:val="24"/>
                <w:highlight w:val="red"/>
              </w:rPr>
            </w:pPr>
            <w:r w:rsidRPr="001C5B5D">
              <w:rPr>
                <w:rFonts w:ascii="宋体" w:hAnsi="宋体" w:hint="eastAsia"/>
                <w:color w:val="000000"/>
                <w:kern w:val="0"/>
                <w:sz w:val="24"/>
                <w:szCs w:val="24"/>
              </w:rPr>
              <w:t xml:space="preserve">14690.22 </w:t>
            </w:r>
          </w:p>
        </w:tc>
      </w:tr>
      <w:tr w:rsidR="00B0193D" w:rsidRPr="001C5B5D" w:rsidTr="00B0193D">
        <w:trPr>
          <w:trHeight w:val="669"/>
        </w:trPr>
        <w:tc>
          <w:tcPr>
            <w:tcW w:w="729" w:type="pct"/>
            <w:tcBorders>
              <w:top w:val="single" w:sz="4" w:space="0" w:color="auto"/>
              <w:left w:val="single" w:sz="4" w:space="0" w:color="auto"/>
              <w:bottom w:val="single" w:sz="4" w:space="0" w:color="auto"/>
              <w:right w:val="single" w:sz="4" w:space="0" w:color="auto"/>
            </w:tcBorders>
            <w:vAlign w:val="center"/>
            <w:hideMark/>
          </w:tcPr>
          <w:p w:rsidR="001C5B5D" w:rsidRPr="001C5B5D" w:rsidRDefault="001C5B5D">
            <w:pPr>
              <w:widowControl/>
              <w:jc w:val="center"/>
              <w:textAlignment w:val="center"/>
              <w:rPr>
                <w:rFonts w:ascii="宋体" w:hAnsi="宋体"/>
                <w:color w:val="000000"/>
                <w:kern w:val="0"/>
                <w:sz w:val="24"/>
                <w:szCs w:val="24"/>
              </w:rPr>
            </w:pPr>
            <w:r w:rsidRPr="001C5B5D">
              <w:rPr>
                <w:rFonts w:ascii="宋体" w:hAnsi="宋体" w:hint="eastAsia"/>
                <w:color w:val="000000"/>
                <w:kern w:val="0"/>
                <w:sz w:val="24"/>
                <w:szCs w:val="24"/>
              </w:rPr>
              <w:t>2024</w:t>
            </w:r>
          </w:p>
        </w:tc>
        <w:tc>
          <w:tcPr>
            <w:tcW w:w="915" w:type="pct"/>
            <w:tcBorders>
              <w:top w:val="single" w:sz="4" w:space="0" w:color="auto"/>
              <w:left w:val="single" w:sz="4" w:space="0" w:color="auto"/>
              <w:bottom w:val="single" w:sz="4" w:space="0" w:color="auto"/>
              <w:right w:val="single" w:sz="4" w:space="0" w:color="auto"/>
            </w:tcBorders>
            <w:vAlign w:val="center"/>
            <w:hideMark/>
          </w:tcPr>
          <w:p w:rsidR="001C5B5D" w:rsidRPr="001C5B5D" w:rsidRDefault="001C5B5D">
            <w:pPr>
              <w:widowControl/>
              <w:jc w:val="center"/>
              <w:textAlignment w:val="center"/>
              <w:rPr>
                <w:rFonts w:ascii="宋体" w:hAnsi="宋体"/>
                <w:color w:val="000000"/>
                <w:kern w:val="0"/>
                <w:sz w:val="24"/>
                <w:szCs w:val="24"/>
                <w:highlight w:val="red"/>
              </w:rPr>
            </w:pPr>
            <w:r w:rsidRPr="001C5B5D">
              <w:rPr>
                <w:rFonts w:ascii="宋体" w:hAnsi="宋体" w:hint="eastAsia"/>
                <w:color w:val="000000"/>
                <w:kern w:val="0"/>
                <w:sz w:val="24"/>
                <w:szCs w:val="24"/>
              </w:rPr>
              <w:t xml:space="preserve">28283.63 </w:t>
            </w:r>
          </w:p>
        </w:tc>
        <w:tc>
          <w:tcPr>
            <w:tcW w:w="1164" w:type="pct"/>
            <w:tcBorders>
              <w:top w:val="single" w:sz="4" w:space="0" w:color="auto"/>
              <w:left w:val="single" w:sz="4" w:space="0" w:color="auto"/>
              <w:bottom w:val="single" w:sz="4" w:space="0" w:color="auto"/>
              <w:right w:val="single" w:sz="4" w:space="0" w:color="auto"/>
            </w:tcBorders>
            <w:vAlign w:val="center"/>
            <w:hideMark/>
          </w:tcPr>
          <w:p w:rsidR="001C5B5D" w:rsidRPr="001C5B5D" w:rsidRDefault="001C5B5D">
            <w:pPr>
              <w:widowControl/>
              <w:jc w:val="center"/>
              <w:textAlignment w:val="center"/>
              <w:rPr>
                <w:rFonts w:ascii="宋体" w:hAnsi="宋体"/>
                <w:color w:val="000000"/>
                <w:kern w:val="0"/>
                <w:sz w:val="24"/>
                <w:szCs w:val="24"/>
                <w:highlight w:val="red"/>
              </w:rPr>
            </w:pPr>
            <w:r w:rsidRPr="001C5B5D">
              <w:rPr>
                <w:rFonts w:ascii="宋体" w:hAnsi="宋体" w:hint="eastAsia"/>
                <w:color w:val="000000"/>
                <w:kern w:val="0"/>
                <w:sz w:val="24"/>
                <w:szCs w:val="24"/>
              </w:rPr>
              <w:t xml:space="preserve">28049.54 </w:t>
            </w:r>
          </w:p>
        </w:tc>
        <w:tc>
          <w:tcPr>
            <w:tcW w:w="915" w:type="pct"/>
            <w:tcBorders>
              <w:top w:val="single" w:sz="4" w:space="0" w:color="auto"/>
              <w:left w:val="single" w:sz="4" w:space="0" w:color="auto"/>
              <w:bottom w:val="single" w:sz="4" w:space="0" w:color="auto"/>
              <w:right w:val="single" w:sz="4" w:space="0" w:color="auto"/>
            </w:tcBorders>
            <w:vAlign w:val="center"/>
            <w:hideMark/>
          </w:tcPr>
          <w:p w:rsidR="001C5B5D" w:rsidRPr="001C5B5D" w:rsidRDefault="001C5B5D">
            <w:pPr>
              <w:widowControl/>
              <w:jc w:val="center"/>
              <w:textAlignment w:val="center"/>
              <w:rPr>
                <w:rFonts w:ascii="宋体" w:hAnsi="宋体"/>
                <w:color w:val="000000"/>
                <w:kern w:val="0"/>
                <w:sz w:val="24"/>
                <w:szCs w:val="24"/>
                <w:highlight w:val="red"/>
              </w:rPr>
            </w:pPr>
            <w:r w:rsidRPr="001C5B5D">
              <w:rPr>
                <w:rFonts w:ascii="宋体" w:hAnsi="宋体" w:hint="eastAsia"/>
                <w:color w:val="000000"/>
                <w:kern w:val="0"/>
                <w:sz w:val="24"/>
                <w:szCs w:val="24"/>
              </w:rPr>
              <w:t xml:space="preserve">1137.27 </w:t>
            </w:r>
          </w:p>
        </w:tc>
        <w:tc>
          <w:tcPr>
            <w:tcW w:w="1277" w:type="pct"/>
            <w:tcBorders>
              <w:top w:val="single" w:sz="4" w:space="0" w:color="auto"/>
              <w:left w:val="single" w:sz="4" w:space="0" w:color="auto"/>
              <w:bottom w:val="single" w:sz="4" w:space="0" w:color="auto"/>
              <w:right w:val="single" w:sz="4" w:space="0" w:color="auto"/>
            </w:tcBorders>
            <w:vAlign w:val="center"/>
            <w:hideMark/>
          </w:tcPr>
          <w:p w:rsidR="001C5B5D" w:rsidRPr="001C5B5D" w:rsidRDefault="001C5B5D">
            <w:pPr>
              <w:widowControl/>
              <w:jc w:val="center"/>
              <w:textAlignment w:val="center"/>
              <w:rPr>
                <w:rFonts w:ascii="宋体" w:hAnsi="宋体"/>
                <w:color w:val="000000"/>
                <w:kern w:val="0"/>
                <w:sz w:val="24"/>
                <w:szCs w:val="24"/>
                <w:highlight w:val="red"/>
              </w:rPr>
            </w:pPr>
            <w:r w:rsidRPr="001C5B5D">
              <w:rPr>
                <w:rFonts w:ascii="宋体" w:hAnsi="宋体" w:hint="eastAsia"/>
                <w:color w:val="000000"/>
                <w:kern w:val="0"/>
                <w:sz w:val="24"/>
                <w:szCs w:val="24"/>
              </w:rPr>
              <w:t xml:space="preserve">13679.08 </w:t>
            </w:r>
          </w:p>
        </w:tc>
      </w:tr>
    </w:tbl>
    <w:p w:rsidR="00C75D7B" w:rsidRDefault="007900C0">
      <w:bookmarkStart w:id="5" w:name="_GoBack"/>
      <w:bookmarkEnd w:id="5"/>
      <w:r>
        <w:rPr>
          <w:rFonts w:hint="eastAsia"/>
        </w:rPr>
        <w:br w:type="page"/>
      </w:r>
    </w:p>
    <w:p w:rsidR="00C75D7B" w:rsidRDefault="007900C0">
      <w:pPr>
        <w:pStyle w:val="2"/>
        <w:numPr>
          <w:ilvl w:val="0"/>
          <w:numId w:val="2"/>
        </w:numPr>
        <w:spacing w:line="360" w:lineRule="auto"/>
      </w:pPr>
      <w:bookmarkStart w:id="6" w:name="_Toc16148"/>
      <w:r>
        <w:rPr>
          <w:rFonts w:hint="eastAsia"/>
        </w:rPr>
        <w:lastRenderedPageBreak/>
        <w:t>组织架构图</w:t>
      </w:r>
      <w:r>
        <w:rPr>
          <w:rFonts w:hint="eastAsia"/>
        </w:rPr>
        <w:t>:</w:t>
      </w:r>
      <w:bookmarkEnd w:id="6"/>
    </w:p>
    <w:p w:rsidR="00C75D7B" w:rsidRDefault="007900C0">
      <w:pPr>
        <w:jc w:val="center"/>
      </w:pPr>
      <w:r>
        <w:rPr>
          <w:noProof/>
        </w:rPr>
        <w:drawing>
          <wp:inline distT="0" distB="0" distL="114300" distR="114300">
            <wp:extent cx="5181600" cy="455930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181600" cy="4559300"/>
                    </a:xfrm>
                    <a:prstGeom prst="rect">
                      <a:avLst/>
                    </a:prstGeom>
                    <a:noFill/>
                    <a:ln>
                      <a:noFill/>
                    </a:ln>
                  </pic:spPr>
                </pic:pic>
              </a:graphicData>
            </a:graphic>
          </wp:inline>
        </w:drawing>
      </w:r>
    </w:p>
    <w:p w:rsidR="00C75D7B" w:rsidRDefault="00C75D7B">
      <w:pPr>
        <w:spacing w:line="360" w:lineRule="auto"/>
      </w:pPr>
    </w:p>
    <w:p w:rsidR="00C75D7B" w:rsidRDefault="00C75D7B">
      <w:pPr>
        <w:spacing w:line="360" w:lineRule="auto"/>
      </w:pPr>
    </w:p>
    <w:p w:rsidR="00C75D7B" w:rsidRDefault="00C75D7B">
      <w:pPr>
        <w:spacing w:line="360" w:lineRule="auto"/>
      </w:pPr>
    </w:p>
    <w:p w:rsidR="00C75D7B" w:rsidRDefault="00C75D7B">
      <w:pPr>
        <w:spacing w:line="360" w:lineRule="auto"/>
      </w:pPr>
    </w:p>
    <w:p w:rsidR="00C75D7B" w:rsidRDefault="00C75D7B">
      <w:pPr>
        <w:spacing w:line="360" w:lineRule="auto"/>
      </w:pPr>
    </w:p>
    <w:p w:rsidR="00C75D7B" w:rsidRDefault="00C75D7B">
      <w:pPr>
        <w:spacing w:line="360" w:lineRule="auto"/>
      </w:pPr>
    </w:p>
    <w:p w:rsidR="00C75D7B" w:rsidRDefault="00C75D7B">
      <w:pPr>
        <w:spacing w:line="360" w:lineRule="auto"/>
      </w:pPr>
    </w:p>
    <w:p w:rsidR="00C75D7B" w:rsidRDefault="007900C0">
      <w:r>
        <w:rPr>
          <w:rFonts w:hint="eastAsia"/>
        </w:rPr>
        <w:br w:type="page"/>
      </w:r>
    </w:p>
    <w:p w:rsidR="00C75D7B" w:rsidRDefault="007900C0">
      <w:pPr>
        <w:pStyle w:val="2"/>
        <w:spacing w:line="360" w:lineRule="auto"/>
      </w:pPr>
      <w:bookmarkStart w:id="7" w:name="_Toc15786"/>
      <w:r>
        <w:rPr>
          <w:rFonts w:hint="eastAsia"/>
        </w:rPr>
        <w:lastRenderedPageBreak/>
        <w:t>四、技术创新</w:t>
      </w:r>
      <w:bookmarkEnd w:id="7"/>
    </w:p>
    <w:p w:rsidR="00C75D7B" w:rsidRDefault="007900C0">
      <w:pPr>
        <w:spacing w:line="360" w:lineRule="auto"/>
        <w:ind w:firstLineChars="200" w:firstLine="602"/>
        <w:jc w:val="left"/>
        <w:outlineLvl w:val="1"/>
        <w:rPr>
          <w:rFonts w:ascii="宋体" w:hAnsi="宋体" w:cs="宋体"/>
          <w:b/>
          <w:bCs/>
          <w:sz w:val="30"/>
          <w:szCs w:val="30"/>
        </w:rPr>
      </w:pPr>
      <w:bookmarkStart w:id="8" w:name="_Toc9350"/>
      <w:r>
        <w:rPr>
          <w:rFonts w:ascii="宋体" w:hAnsi="宋体" w:cs="宋体" w:hint="eastAsia"/>
          <w:b/>
          <w:bCs/>
          <w:sz w:val="30"/>
          <w:szCs w:val="30"/>
        </w:rPr>
        <w:t>1、技术管理工作</w:t>
      </w:r>
      <w:bookmarkEnd w:id="8"/>
    </w:p>
    <w:p w:rsidR="00C75D7B" w:rsidRDefault="007900C0">
      <w:pPr>
        <w:spacing w:line="360" w:lineRule="auto"/>
        <w:ind w:firstLineChars="200" w:firstLine="480"/>
        <w:rPr>
          <w:rFonts w:ascii="宋体" w:hAnsi="宋体"/>
          <w:sz w:val="24"/>
          <w:szCs w:val="24"/>
        </w:rPr>
      </w:pPr>
      <w:r>
        <w:rPr>
          <w:rFonts w:eastAsiaTheme="minorEastAsia"/>
          <w:sz w:val="24"/>
          <w:szCs w:val="24"/>
        </w:rPr>
        <w:t>公司十分注重把科技成果转化为产品优势</w:t>
      </w:r>
      <w:r>
        <w:rPr>
          <w:rFonts w:eastAsiaTheme="minorEastAsia" w:hint="eastAsia"/>
          <w:sz w:val="24"/>
          <w:szCs w:val="24"/>
        </w:rPr>
        <w:t>，</w:t>
      </w:r>
      <w:r>
        <w:rPr>
          <w:rFonts w:eastAsiaTheme="minorEastAsia"/>
          <w:sz w:val="24"/>
          <w:szCs w:val="24"/>
        </w:rPr>
        <w:t>公司拥有</w:t>
      </w:r>
      <w:r>
        <w:rPr>
          <w:rFonts w:eastAsiaTheme="minorEastAsia" w:hint="eastAsia"/>
          <w:sz w:val="24"/>
          <w:szCs w:val="24"/>
        </w:rPr>
        <w:t>知识产权</w:t>
      </w:r>
      <w:r>
        <w:rPr>
          <w:rFonts w:eastAsiaTheme="minorEastAsia" w:hint="eastAsia"/>
          <w:sz w:val="24"/>
          <w:szCs w:val="24"/>
        </w:rPr>
        <w:t>81</w:t>
      </w:r>
      <w:r>
        <w:rPr>
          <w:rFonts w:eastAsiaTheme="minorEastAsia" w:hint="eastAsia"/>
          <w:sz w:val="24"/>
          <w:szCs w:val="24"/>
        </w:rPr>
        <w:t>件，参与制定国家标准</w:t>
      </w:r>
      <w:r>
        <w:rPr>
          <w:rFonts w:eastAsiaTheme="minorEastAsia" w:hint="eastAsia"/>
          <w:sz w:val="24"/>
          <w:szCs w:val="24"/>
        </w:rPr>
        <w:t>2</w:t>
      </w:r>
      <w:r>
        <w:rPr>
          <w:rFonts w:eastAsiaTheme="minorEastAsia" w:hint="eastAsia"/>
          <w:sz w:val="24"/>
          <w:szCs w:val="24"/>
        </w:rPr>
        <w:t>项，行业标准</w:t>
      </w:r>
      <w:r>
        <w:rPr>
          <w:rFonts w:eastAsiaTheme="minorEastAsia" w:hint="eastAsia"/>
          <w:sz w:val="24"/>
          <w:szCs w:val="24"/>
        </w:rPr>
        <w:t>3</w:t>
      </w:r>
      <w:r>
        <w:rPr>
          <w:rFonts w:eastAsiaTheme="minorEastAsia" w:hint="eastAsia"/>
          <w:sz w:val="24"/>
          <w:szCs w:val="24"/>
        </w:rPr>
        <w:t>项，企业标准</w:t>
      </w:r>
      <w:r>
        <w:rPr>
          <w:rFonts w:eastAsiaTheme="minorEastAsia" w:hint="eastAsia"/>
          <w:sz w:val="24"/>
          <w:szCs w:val="24"/>
        </w:rPr>
        <w:t>7</w:t>
      </w:r>
      <w:r>
        <w:rPr>
          <w:rFonts w:eastAsiaTheme="minorEastAsia" w:hint="eastAsia"/>
          <w:sz w:val="24"/>
          <w:szCs w:val="24"/>
        </w:rPr>
        <w:t>项</w:t>
      </w:r>
      <w:r>
        <w:rPr>
          <w:rFonts w:eastAsiaTheme="minorEastAsia"/>
          <w:sz w:val="24"/>
          <w:szCs w:val="24"/>
        </w:rPr>
        <w:t>，</w:t>
      </w:r>
      <w:r>
        <w:rPr>
          <w:rFonts w:ascii="宋体" w:hAnsi="宋体" w:cs="宋体" w:hint="eastAsia"/>
          <w:sz w:val="24"/>
        </w:rPr>
        <w:t>公司具备雄厚的技术实力和较强的研发能力和</w:t>
      </w:r>
      <w:r>
        <w:rPr>
          <w:rFonts w:ascii="宋体" w:hAnsi="宋体" w:hint="eastAsia"/>
          <w:sz w:val="24"/>
          <w:szCs w:val="24"/>
        </w:rPr>
        <w:t>各方面的人才优势，同时拥有经验丰富的技术资深专家，有满足产品生产的现代化环境及先进的检测设备与完备的检测手段，有完善的质量管理体系，所有的配套企业都是行业的定点企业，公司具备开发该产品的条件。</w:t>
      </w:r>
    </w:p>
    <w:p w:rsidR="00C75D7B" w:rsidRDefault="00C75D7B">
      <w:pPr>
        <w:spacing w:line="360" w:lineRule="auto"/>
      </w:pPr>
    </w:p>
    <w:p w:rsidR="00C75D7B" w:rsidRDefault="007900C0">
      <w:pPr>
        <w:pStyle w:val="a8"/>
        <w:numPr>
          <w:ilvl w:val="0"/>
          <w:numId w:val="3"/>
        </w:numPr>
        <w:spacing w:line="360" w:lineRule="auto"/>
        <w:ind w:left="771" w:hangingChars="240" w:hanging="771"/>
        <w:outlineLvl w:val="1"/>
        <w:rPr>
          <w:rStyle w:val="3Char"/>
          <w:rFonts w:ascii="宋体" w:hAnsi="宋体"/>
          <w:b w:val="0"/>
          <w:sz w:val="24"/>
        </w:rPr>
      </w:pPr>
      <w:bookmarkStart w:id="9" w:name="_Toc13707"/>
      <w:r>
        <w:rPr>
          <w:rStyle w:val="3Char"/>
          <w:rFonts w:hint="eastAsia"/>
        </w:rPr>
        <w:t>研发团队建立</w:t>
      </w:r>
      <w:bookmarkEnd w:id="9"/>
    </w:p>
    <w:p w:rsidR="00C75D7B" w:rsidRDefault="007900C0">
      <w:pPr>
        <w:spacing w:line="560" w:lineRule="exact"/>
        <w:ind w:firstLineChars="200" w:firstLine="480"/>
        <w:rPr>
          <w:rFonts w:eastAsiaTheme="minorEastAsia"/>
          <w:sz w:val="24"/>
          <w:szCs w:val="24"/>
        </w:rPr>
      </w:pPr>
      <w:r>
        <w:rPr>
          <w:rFonts w:eastAsiaTheme="minorEastAsia" w:hint="eastAsia"/>
          <w:sz w:val="24"/>
          <w:szCs w:val="24"/>
        </w:rPr>
        <w:t>公司</w:t>
      </w:r>
      <w:r>
        <w:rPr>
          <w:rFonts w:eastAsiaTheme="minorEastAsia"/>
          <w:sz w:val="24"/>
          <w:szCs w:val="24"/>
        </w:rPr>
        <w:t>十分注重技术人员队伍建设，通过引进、招聘、培训等多种途径，</w:t>
      </w:r>
      <w:r>
        <w:rPr>
          <w:rFonts w:eastAsiaTheme="minorEastAsia" w:hint="eastAsia"/>
          <w:sz w:val="24"/>
          <w:szCs w:val="24"/>
        </w:rPr>
        <w:t>增加</w:t>
      </w:r>
      <w:r>
        <w:rPr>
          <w:rFonts w:eastAsiaTheme="minorEastAsia"/>
          <w:sz w:val="24"/>
          <w:szCs w:val="24"/>
        </w:rPr>
        <w:t>人才</w:t>
      </w:r>
      <w:r>
        <w:rPr>
          <w:rFonts w:eastAsiaTheme="minorEastAsia" w:hint="eastAsia"/>
          <w:sz w:val="24"/>
          <w:szCs w:val="24"/>
        </w:rPr>
        <w:t>。加强与高校的产学研合作，分别与武汉大学、南京工业大学形成优良的产学研合作关系，并柔性引进江苏省科技副总</w:t>
      </w:r>
      <w:r>
        <w:rPr>
          <w:rFonts w:eastAsiaTheme="minorEastAsia" w:hint="eastAsia"/>
          <w:sz w:val="24"/>
          <w:szCs w:val="24"/>
        </w:rPr>
        <w:t>1</w:t>
      </w:r>
      <w:r>
        <w:rPr>
          <w:rFonts w:eastAsiaTheme="minorEastAsia" w:hint="eastAsia"/>
          <w:sz w:val="24"/>
          <w:szCs w:val="24"/>
        </w:rPr>
        <w:t>名。</w:t>
      </w:r>
    </w:p>
    <w:p w:rsidR="00C75D7B" w:rsidRDefault="007900C0">
      <w:pPr>
        <w:spacing w:line="560" w:lineRule="exact"/>
        <w:ind w:firstLineChars="200" w:firstLine="480"/>
        <w:rPr>
          <w:rFonts w:eastAsiaTheme="minorEastAsia"/>
          <w:sz w:val="24"/>
          <w:szCs w:val="24"/>
        </w:rPr>
      </w:pPr>
      <w:r>
        <w:rPr>
          <w:rFonts w:eastAsiaTheme="minorEastAsia" w:hint="eastAsia"/>
          <w:sz w:val="24"/>
          <w:szCs w:val="24"/>
        </w:rPr>
        <w:t xml:space="preserve"> </w:t>
      </w:r>
      <w:r>
        <w:rPr>
          <w:rFonts w:eastAsiaTheme="minorEastAsia" w:hint="eastAsia"/>
          <w:sz w:val="24"/>
          <w:szCs w:val="24"/>
        </w:rPr>
        <w:t>技术负责人崔德文为高级工程师，受聘为南京工业大学化工学院企业导师。获市“五一”劳动奖章，被市列为拔尖人才培养对象。自参加工作以来，致力于胺类产品生产和研发，有丰富的研发及管理经验，以第一负责人的身份主持多项研究课题，获发明</w:t>
      </w:r>
      <w:r>
        <w:rPr>
          <w:rFonts w:eastAsiaTheme="minorEastAsia" w:hint="eastAsia"/>
          <w:sz w:val="24"/>
          <w:szCs w:val="24"/>
        </w:rPr>
        <w:t>9</w:t>
      </w:r>
      <w:r>
        <w:rPr>
          <w:rFonts w:eastAsiaTheme="minorEastAsia" w:hint="eastAsia"/>
          <w:sz w:val="24"/>
          <w:szCs w:val="24"/>
        </w:rPr>
        <w:t>件，其中</w:t>
      </w:r>
      <w:r>
        <w:rPr>
          <w:rFonts w:eastAsiaTheme="minorEastAsia" w:hint="eastAsia"/>
          <w:sz w:val="24"/>
          <w:szCs w:val="24"/>
        </w:rPr>
        <w:t>1</w:t>
      </w:r>
      <w:r>
        <w:rPr>
          <w:rFonts w:eastAsiaTheme="minorEastAsia" w:hint="eastAsia"/>
          <w:sz w:val="24"/>
          <w:szCs w:val="24"/>
        </w:rPr>
        <w:t>件获得市专利奖一等奖，软著</w:t>
      </w:r>
      <w:r>
        <w:rPr>
          <w:rFonts w:eastAsiaTheme="minorEastAsia" w:hint="eastAsia"/>
          <w:sz w:val="24"/>
          <w:szCs w:val="24"/>
        </w:rPr>
        <w:t>2</w:t>
      </w:r>
      <w:r>
        <w:rPr>
          <w:rFonts w:eastAsiaTheme="minorEastAsia" w:hint="eastAsia"/>
          <w:sz w:val="24"/>
          <w:szCs w:val="24"/>
        </w:rPr>
        <w:t>件，先后发表论文</w:t>
      </w:r>
      <w:r>
        <w:rPr>
          <w:rFonts w:eastAsiaTheme="minorEastAsia" w:hint="eastAsia"/>
          <w:sz w:val="24"/>
          <w:szCs w:val="24"/>
        </w:rPr>
        <w:t>8</w:t>
      </w:r>
      <w:r>
        <w:rPr>
          <w:rFonts w:eastAsiaTheme="minorEastAsia" w:hint="eastAsia"/>
          <w:sz w:val="24"/>
          <w:szCs w:val="24"/>
        </w:rPr>
        <w:t>篇。</w:t>
      </w:r>
    </w:p>
    <w:p w:rsidR="00C75D7B" w:rsidRDefault="007900C0">
      <w:pPr>
        <w:spacing w:line="360" w:lineRule="auto"/>
        <w:rPr>
          <w:rFonts w:ascii="宋体" w:hAnsi="宋体"/>
          <w:sz w:val="24"/>
        </w:rPr>
      </w:pPr>
      <w:r>
        <w:rPr>
          <w:sz w:val="24"/>
          <w:szCs w:val="24"/>
        </w:rPr>
        <w:t xml:space="preserve"> </w:t>
      </w:r>
    </w:p>
    <w:p w:rsidR="00C75D7B" w:rsidRDefault="007900C0">
      <w:bookmarkStart w:id="10" w:name="_Toc12849"/>
      <w:r>
        <w:rPr>
          <w:rFonts w:hint="eastAsia"/>
        </w:rPr>
        <w:br w:type="page"/>
      </w:r>
    </w:p>
    <w:p w:rsidR="00C75D7B" w:rsidRDefault="007900C0">
      <w:pPr>
        <w:pStyle w:val="2"/>
        <w:spacing w:line="360" w:lineRule="auto"/>
      </w:pPr>
      <w:r>
        <w:rPr>
          <w:rFonts w:hint="eastAsia"/>
        </w:rPr>
        <w:lastRenderedPageBreak/>
        <w:t>五、信用建设</w:t>
      </w:r>
      <w:bookmarkEnd w:id="10"/>
    </w:p>
    <w:p w:rsidR="00C75D7B" w:rsidRDefault="007900C0">
      <w:pPr>
        <w:autoSpaceDN w:val="0"/>
        <w:spacing w:before="150" w:after="150" w:line="360" w:lineRule="auto"/>
        <w:ind w:firstLine="420"/>
        <w:rPr>
          <w:rFonts w:ascii="宋体" w:hAnsi="宋体"/>
          <w:sz w:val="24"/>
        </w:rPr>
      </w:pPr>
      <w:r>
        <w:rPr>
          <w:rFonts w:ascii="宋体" w:hAnsi="宋体" w:hint="eastAsia"/>
          <w:sz w:val="24"/>
        </w:rPr>
        <w:t>公司一直将信用管理工作作为公司日常管理的一项重要工作内容坚持开展，连续多年被评为“守合同重信用”单位。在市场经济日益发达的现代社会，我们深知“守合同重信用”是企业生存发展之本，企业的信用资质已成为企业在市场竞争中不可或缺的重要标签。公司始终坚持以诚为本，以信迎客，得到了广大客户的积极评价和充分信赖。</w:t>
      </w:r>
    </w:p>
    <w:p w:rsidR="00C75D7B" w:rsidRDefault="007900C0">
      <w:r>
        <w:rPr>
          <w:rFonts w:hint="eastAsia"/>
        </w:rPr>
        <w:br w:type="page"/>
      </w:r>
    </w:p>
    <w:p w:rsidR="00C75D7B" w:rsidRDefault="007900C0">
      <w:pPr>
        <w:pStyle w:val="2"/>
        <w:spacing w:line="360" w:lineRule="auto"/>
      </w:pPr>
      <w:bookmarkStart w:id="11" w:name="_Toc8196"/>
      <w:r>
        <w:rPr>
          <w:rFonts w:hint="eastAsia"/>
        </w:rPr>
        <w:lastRenderedPageBreak/>
        <w:t>六、环保节约</w:t>
      </w:r>
      <w:bookmarkEnd w:id="11"/>
    </w:p>
    <w:p w:rsidR="00C75D7B" w:rsidRDefault="007900C0">
      <w:pPr>
        <w:pStyle w:val="3"/>
        <w:spacing w:line="360" w:lineRule="auto"/>
      </w:pPr>
      <w:bookmarkStart w:id="12" w:name="_Toc24084"/>
      <w:r>
        <w:rPr>
          <w:rFonts w:hint="eastAsia"/>
        </w:rPr>
        <w:t>1</w:t>
      </w:r>
      <w:r>
        <w:rPr>
          <w:rFonts w:hint="eastAsia"/>
        </w:rPr>
        <w:t>、环境管理</w:t>
      </w:r>
      <w:bookmarkEnd w:id="12"/>
    </w:p>
    <w:p w:rsidR="00C75D7B" w:rsidRDefault="007900C0">
      <w:pPr>
        <w:autoSpaceDN w:val="0"/>
        <w:spacing w:before="150" w:after="150" w:line="360" w:lineRule="auto"/>
        <w:ind w:firstLineChars="200" w:firstLine="480"/>
        <w:rPr>
          <w:rFonts w:ascii="宋体" w:hAnsi="宋体"/>
          <w:sz w:val="24"/>
        </w:rPr>
      </w:pPr>
      <w:r>
        <w:rPr>
          <w:rFonts w:ascii="宋体" w:hAnsi="宋体" w:hint="eastAsia"/>
          <w:sz w:val="24"/>
        </w:rPr>
        <w:t>公司于通过了ISO14000环境管理体系认证，和ISO28001职业健康安全管理体系增强了环境管理和员工职业健康安全的管理能力。建立专门的管理机构，健全完善环境管理制度并纳入正常管理。建立和完善环境污染事故应急预案，并定期组织演练。加强生产技术和设备管理，充分利用好各种资源、能源，提高原料、能源利用率，不产生或少产生废弃物。凡是通过检修、更换设备能够解决污染问题的，要及时停产检修、更换设备。对重要环境因素进行重点管控，遵纪守法，全年无安全、环保事故的发生。</w:t>
      </w:r>
    </w:p>
    <w:p w:rsidR="00C75D7B" w:rsidRDefault="007900C0">
      <w:pPr>
        <w:autoSpaceDN w:val="0"/>
        <w:spacing w:before="150" w:after="150" w:line="360" w:lineRule="auto"/>
        <w:ind w:firstLineChars="200" w:firstLine="480"/>
        <w:rPr>
          <w:rFonts w:ascii="宋体" w:hAnsi="宋体"/>
          <w:sz w:val="24"/>
        </w:rPr>
      </w:pPr>
      <w:r>
        <w:rPr>
          <w:rFonts w:ascii="宋体" w:hAnsi="宋体" w:hint="eastAsia"/>
          <w:sz w:val="24"/>
        </w:rPr>
        <w:t>公司通过了ISO 14064认证，对组织边界的温室气体排放进行了量化，并向社会公布，2022年通过IS0 5001能源管理体系认证。</w:t>
      </w:r>
    </w:p>
    <w:p w:rsidR="00C75D7B" w:rsidRDefault="007900C0">
      <w:pPr>
        <w:pStyle w:val="3"/>
        <w:spacing w:line="360" w:lineRule="auto"/>
      </w:pPr>
      <w:bookmarkStart w:id="13" w:name="_Toc27643"/>
      <w:r>
        <w:rPr>
          <w:rFonts w:hint="eastAsia"/>
        </w:rPr>
        <w:t>2</w:t>
      </w:r>
      <w:r>
        <w:rPr>
          <w:rFonts w:hint="eastAsia"/>
        </w:rPr>
        <w:t>、资源节约与综合利用</w:t>
      </w:r>
      <w:bookmarkEnd w:id="13"/>
    </w:p>
    <w:p w:rsidR="00C75D7B" w:rsidRDefault="007900C0">
      <w:pPr>
        <w:spacing w:line="360" w:lineRule="auto"/>
        <w:ind w:firstLineChars="200" w:firstLine="480"/>
        <w:rPr>
          <w:rFonts w:ascii="宋体" w:hAnsi="宋体"/>
          <w:sz w:val="24"/>
        </w:rPr>
      </w:pPr>
      <w:r>
        <w:rPr>
          <w:rFonts w:ascii="宋体" w:hAnsi="宋体" w:hint="eastAsia"/>
          <w:sz w:val="24"/>
        </w:rPr>
        <w:t>公司坚决杜绝资源浪费现象。公司按照GB/T29115的要求对其原材料使用量的减少进行评价，编制了节材自评报告，积极推行废物回收利用，节约原材料及资源的消耗，实施了甲胺装置优化改造项目、空压机改造项目、CO装置的压缩机改造项目、中水回用、新建变电所减少无功损耗及线损项目等一系列节材措施。</w:t>
      </w:r>
    </w:p>
    <w:p w:rsidR="00C75D7B" w:rsidRDefault="007900C0">
      <w:pPr>
        <w:spacing w:line="360" w:lineRule="auto"/>
        <w:ind w:firstLineChars="200" w:firstLine="480"/>
        <w:rPr>
          <w:rFonts w:ascii="宋体" w:hAnsi="宋体"/>
          <w:sz w:val="24"/>
        </w:rPr>
      </w:pPr>
      <w:r>
        <w:rPr>
          <w:rFonts w:ascii="宋体" w:hAnsi="宋体" w:hint="eastAsia"/>
          <w:sz w:val="24"/>
        </w:rPr>
        <w:t>公司对供应商进行考核，优先采购通过环境管理体系认证的供方提供的物料，优先采购绿色物料，履行环保社会责任。</w:t>
      </w:r>
    </w:p>
    <w:p w:rsidR="00C75D7B" w:rsidRDefault="007900C0">
      <w:r>
        <w:rPr>
          <w:rFonts w:hint="eastAsia"/>
        </w:rPr>
        <w:br w:type="page"/>
      </w:r>
    </w:p>
    <w:p w:rsidR="00C75D7B" w:rsidRDefault="007900C0">
      <w:pPr>
        <w:pStyle w:val="2"/>
        <w:spacing w:line="360" w:lineRule="auto"/>
      </w:pPr>
      <w:bookmarkStart w:id="14" w:name="_Toc3565"/>
      <w:r>
        <w:rPr>
          <w:rFonts w:hint="eastAsia"/>
        </w:rPr>
        <w:lastRenderedPageBreak/>
        <w:t>七、安全生产</w:t>
      </w:r>
      <w:bookmarkEnd w:id="14"/>
    </w:p>
    <w:p w:rsidR="00C75D7B" w:rsidRDefault="007900C0">
      <w:pPr>
        <w:pStyle w:val="3"/>
        <w:spacing w:line="360" w:lineRule="auto"/>
      </w:pPr>
      <w:bookmarkStart w:id="15" w:name="_Toc6483"/>
      <w:r>
        <w:rPr>
          <w:rFonts w:hint="eastAsia"/>
        </w:rPr>
        <w:t>1</w:t>
      </w:r>
      <w:r>
        <w:rPr>
          <w:rFonts w:hint="eastAsia"/>
        </w:rPr>
        <w:t>、安全生产管理</w:t>
      </w:r>
      <w:bookmarkEnd w:id="15"/>
    </w:p>
    <w:p w:rsidR="00C75D7B" w:rsidRDefault="007900C0">
      <w:pPr>
        <w:spacing w:line="360" w:lineRule="auto"/>
        <w:ind w:firstLineChars="200" w:firstLine="480"/>
        <w:rPr>
          <w:rFonts w:ascii="宋体" w:hAnsi="宋体"/>
          <w:sz w:val="24"/>
        </w:rPr>
      </w:pPr>
      <w:r>
        <w:rPr>
          <w:rFonts w:ascii="宋体" w:hAnsi="宋体" w:hint="eastAsia"/>
          <w:sz w:val="24"/>
        </w:rPr>
        <w:t>公司本着“安全第一，预防为主”的安全生产方针。逐步推行现代安全管理，重视员工在作业中的安全和健康，成立有公司安全生产领导小组、明确有安全归口管理部门、配备有专兼职安全管理人员，安全生产管理网络健全，制定有各级安全生产责任制、安全生产管理制度，职能部门职责明确。</w:t>
      </w:r>
    </w:p>
    <w:p w:rsidR="00C75D7B" w:rsidRDefault="007900C0">
      <w:pPr>
        <w:pStyle w:val="3"/>
        <w:spacing w:line="360" w:lineRule="auto"/>
      </w:pPr>
      <w:bookmarkStart w:id="16" w:name="_Toc26339"/>
      <w:r>
        <w:rPr>
          <w:rFonts w:hint="eastAsia"/>
        </w:rPr>
        <w:t>2</w:t>
      </w:r>
      <w:r>
        <w:rPr>
          <w:rFonts w:hint="eastAsia"/>
        </w:rPr>
        <w:t>、安全生产投入</w:t>
      </w:r>
      <w:bookmarkEnd w:id="16"/>
    </w:p>
    <w:p w:rsidR="00C75D7B" w:rsidRDefault="007900C0">
      <w:pPr>
        <w:autoSpaceDN w:val="0"/>
        <w:spacing w:before="150" w:after="150" w:line="360" w:lineRule="auto"/>
        <w:ind w:firstLine="420"/>
        <w:rPr>
          <w:rFonts w:ascii="宋体" w:hAnsi="宋体"/>
          <w:sz w:val="24"/>
        </w:rPr>
      </w:pPr>
      <w:r>
        <w:rPr>
          <w:rFonts w:ascii="宋体" w:hAnsi="宋体" w:hint="eastAsia"/>
          <w:sz w:val="24"/>
        </w:rPr>
        <w:t>公司根据国家法律法规要求制定并严格执行安全生产预算，制定应急预案并进行演练，组织实施安全改善项目。每年投入资金为员工提供所需要的安全资源，包括个人防护设备、劳动防护用品等，以预防职业伤害、疾病和事故，以及紧急情况处理。按着安全事故“0”容忍的态度对待安全投入，所有消除安全隐患的项目都会优先予以安排，保护企业财产安全、保护员工切身利益，维护企业正常经营管理秩序提供了技术保障，提升了企业安全管理水平。</w:t>
      </w:r>
    </w:p>
    <w:p w:rsidR="00C75D7B" w:rsidRDefault="007900C0">
      <w:pPr>
        <w:pStyle w:val="3"/>
        <w:spacing w:line="360" w:lineRule="auto"/>
      </w:pPr>
      <w:bookmarkStart w:id="17" w:name="_Toc9373"/>
      <w:r>
        <w:rPr>
          <w:rFonts w:hint="eastAsia"/>
        </w:rPr>
        <w:t>3</w:t>
      </w:r>
      <w:r>
        <w:rPr>
          <w:rFonts w:hint="eastAsia"/>
        </w:rPr>
        <w:t>、安全生产教育和培训</w:t>
      </w:r>
      <w:bookmarkEnd w:id="17"/>
    </w:p>
    <w:p w:rsidR="00C75D7B" w:rsidRDefault="007900C0">
      <w:pPr>
        <w:autoSpaceDN w:val="0"/>
        <w:spacing w:before="150" w:after="150" w:line="360" w:lineRule="auto"/>
        <w:ind w:firstLineChars="200" w:firstLine="480"/>
        <w:rPr>
          <w:rFonts w:ascii="宋体" w:hAnsi="宋体"/>
          <w:sz w:val="24"/>
        </w:rPr>
      </w:pPr>
      <w:r>
        <w:rPr>
          <w:rFonts w:ascii="宋体" w:hAnsi="宋体" w:hint="eastAsia"/>
          <w:sz w:val="24"/>
        </w:rPr>
        <w:t>员工是企业最宝贵的财富，企业的发展离不开员工，我公司一直以来都把安全生产、职工劳动保护工作当作一切工作中的重中之重，切实维护职工的生命安全和职业健康。为进一步加强企业安全工作，营造“安全管理，人人有责”的良好氛围，树立安全为天的思想意识，每年都会组织全厂消防演练和专项消防演练，所有入场员工严格遵守三级安全培训，每位员工要求每年提报至少三个安全隐患，管理层根据岗位不同会要求不等的安全行为观察，并纳入到个人奖金考核中。每年工厂还会举办各种安全活动，根据要求举行各种检查，并落实存在问题整改进度，另外，上级安全专员也会定期到工厂展开安全检查活动，对存在问题进行跟踪整改。使安全生产管理深入人心，进一步提高全体职工的安全意识和责任意识，形成“安全生产，全员参与”的氛围。</w:t>
      </w:r>
    </w:p>
    <w:p w:rsidR="00C75D7B" w:rsidRDefault="007900C0">
      <w:pPr>
        <w:pStyle w:val="2"/>
        <w:spacing w:line="360" w:lineRule="auto"/>
      </w:pPr>
      <w:bookmarkStart w:id="18" w:name="_Toc22302"/>
      <w:r>
        <w:rPr>
          <w:rFonts w:hint="eastAsia"/>
        </w:rPr>
        <w:lastRenderedPageBreak/>
        <w:t>八、员工</w:t>
      </w:r>
      <w:bookmarkEnd w:id="18"/>
    </w:p>
    <w:p w:rsidR="00C75D7B" w:rsidRDefault="007900C0">
      <w:pPr>
        <w:pStyle w:val="3"/>
        <w:spacing w:line="360" w:lineRule="auto"/>
      </w:pPr>
      <w:bookmarkStart w:id="19" w:name="_Toc8127"/>
      <w:r>
        <w:rPr>
          <w:rFonts w:hint="eastAsia"/>
        </w:rPr>
        <w:t>1</w:t>
      </w:r>
      <w:r>
        <w:rPr>
          <w:rFonts w:hint="eastAsia"/>
        </w:rPr>
        <w:t>、劳动合同与薪酬</w:t>
      </w:r>
      <w:bookmarkEnd w:id="19"/>
    </w:p>
    <w:p w:rsidR="00C75D7B" w:rsidRDefault="007900C0">
      <w:pPr>
        <w:autoSpaceDN w:val="0"/>
        <w:spacing w:before="150" w:after="150" w:line="360" w:lineRule="auto"/>
        <w:ind w:firstLine="420"/>
        <w:rPr>
          <w:rFonts w:ascii="宋体" w:hAnsi="宋体"/>
          <w:sz w:val="24"/>
        </w:rPr>
      </w:pPr>
      <w:r>
        <w:rPr>
          <w:rFonts w:ascii="宋体" w:hAnsi="宋体" w:hint="eastAsia"/>
          <w:sz w:val="24"/>
        </w:rPr>
        <w:t>公司严格遵守、全面贯彻《中华人民共和国劳动合同法》等法律法规，遵循合法、公平、平等自愿的原则与员工签订书面劳动合同，依法进行劳动合同的履行、变更、解除和终止。劳动合同签约率100%。公司制定公平合理的薪酬制度，按时足额支付员工薪酬。遵循企业经营效益与员工收入同步提升的原则，根据企业年度经营目标，结合本市颁布的工资增长指导线，比照同行业人工成本和劳动力市场工资指导价位，确定年度平均工资增长幅度。因生产经营需要，安排加班需征得员工同意，按国家劳动法律法规支付相关报酬。</w:t>
      </w:r>
    </w:p>
    <w:p w:rsidR="00C75D7B" w:rsidRDefault="007900C0">
      <w:pPr>
        <w:pStyle w:val="3"/>
        <w:spacing w:line="360" w:lineRule="auto"/>
      </w:pPr>
      <w:bookmarkStart w:id="20" w:name="_Toc31715"/>
      <w:r>
        <w:rPr>
          <w:rFonts w:hint="eastAsia"/>
        </w:rPr>
        <w:t>2</w:t>
      </w:r>
      <w:r>
        <w:rPr>
          <w:rFonts w:hint="eastAsia"/>
        </w:rPr>
        <w:t>、社会保障</w:t>
      </w:r>
      <w:bookmarkEnd w:id="20"/>
    </w:p>
    <w:p w:rsidR="00C75D7B" w:rsidRDefault="007900C0">
      <w:pPr>
        <w:autoSpaceDN w:val="0"/>
        <w:spacing w:before="150" w:after="150" w:line="360" w:lineRule="auto"/>
        <w:ind w:firstLine="420"/>
        <w:rPr>
          <w:rFonts w:ascii="宋体" w:hAnsi="宋体"/>
          <w:sz w:val="24"/>
        </w:rPr>
      </w:pPr>
      <w:r>
        <w:rPr>
          <w:rFonts w:ascii="宋体" w:hAnsi="宋体" w:hint="eastAsia"/>
          <w:sz w:val="24"/>
        </w:rPr>
        <w:t>公司依法为员工按时足额缴纳养老金、失业保险金、医疗保险金、生育保险等社会保险。并且按时为每个员工缴纳了住房公积金，保障员工的基本权益。</w:t>
      </w:r>
    </w:p>
    <w:p w:rsidR="00C75D7B" w:rsidRDefault="007900C0">
      <w:pPr>
        <w:autoSpaceDN w:val="0"/>
        <w:spacing w:before="150" w:after="150" w:line="360" w:lineRule="auto"/>
        <w:ind w:firstLine="420"/>
        <w:rPr>
          <w:rFonts w:ascii="宋体" w:hAnsi="宋体"/>
          <w:sz w:val="24"/>
        </w:rPr>
      </w:pPr>
      <w:r>
        <w:rPr>
          <w:rFonts w:ascii="宋体" w:hAnsi="宋体" w:hint="eastAsia"/>
          <w:sz w:val="24"/>
        </w:rPr>
        <w:t>为了以进一步完善企业的薪酬福利制度，增强企业凝聚力，解除员工的后顾之忧，公司制定了全面的员工福利保障计划，在为员工缴纳社会基本医疗保险的基础上，向中国人寿保险股份有限公司投保了员工团体意外保险，以便更好的保障员工的利益。</w:t>
      </w:r>
    </w:p>
    <w:p w:rsidR="00C75D7B" w:rsidRDefault="007900C0">
      <w:pPr>
        <w:pStyle w:val="3"/>
        <w:spacing w:line="360" w:lineRule="auto"/>
      </w:pPr>
      <w:bookmarkStart w:id="21" w:name="_Toc529"/>
      <w:r>
        <w:rPr>
          <w:rFonts w:hint="eastAsia"/>
        </w:rPr>
        <w:t>3</w:t>
      </w:r>
      <w:r>
        <w:rPr>
          <w:rFonts w:hint="eastAsia"/>
        </w:rPr>
        <w:t>、员工福利</w:t>
      </w:r>
      <w:bookmarkEnd w:id="21"/>
    </w:p>
    <w:p w:rsidR="00C75D7B" w:rsidRDefault="007900C0">
      <w:pPr>
        <w:autoSpaceDN w:val="0"/>
        <w:spacing w:before="150" w:after="150" w:line="360" w:lineRule="auto"/>
        <w:ind w:firstLine="420"/>
        <w:rPr>
          <w:rFonts w:ascii="宋体" w:hAnsi="宋体"/>
          <w:sz w:val="24"/>
        </w:rPr>
      </w:pPr>
      <w:r>
        <w:rPr>
          <w:rFonts w:ascii="宋体" w:hAnsi="宋体" w:hint="eastAsia"/>
          <w:sz w:val="24"/>
        </w:rPr>
        <w:t>为丰富员工的业余生活，公司也组织策划了各类型活动，如欢乐会餐，包汤圆等活动。不仅活跃和丰富了员工业余生活，还激发了员工工作和学习热情，增强了大家的凝聚力，在公司形成了良好的工作氛围。</w:t>
      </w:r>
    </w:p>
    <w:p w:rsidR="00C75D7B" w:rsidRDefault="007900C0">
      <w:pPr>
        <w:autoSpaceDN w:val="0"/>
        <w:spacing w:before="150" w:after="150" w:line="360" w:lineRule="auto"/>
        <w:ind w:firstLine="420"/>
        <w:rPr>
          <w:rFonts w:ascii="宋体" w:hAnsi="宋体"/>
          <w:sz w:val="24"/>
        </w:rPr>
      </w:pPr>
      <w:r>
        <w:rPr>
          <w:rFonts w:ascii="宋体" w:hAnsi="宋体" w:hint="eastAsia"/>
          <w:sz w:val="24"/>
        </w:rPr>
        <w:t>对员工的责任是让全体员工安全、健康、快乐、富有。体现的是“家”文化。中秋和春节等传统节假日的福利发放。今年的“三八妇女节”，为全体女职工发放了礼品卡，并举行了新员工入职员工聚餐欢迎活动，</w:t>
      </w:r>
      <w:r>
        <w:rPr>
          <w:rFonts w:ascii="宋体" w:hAnsi="宋体" w:hint="eastAsia"/>
          <w:color w:val="000000" w:themeColor="text1"/>
          <w:sz w:val="24"/>
        </w:rPr>
        <w:t>通过一系列活动的开展，让员工充分感受到公司的人文关怀，让“家文化”的观念深入员工心中。</w:t>
      </w:r>
    </w:p>
    <w:p w:rsidR="00C75D7B" w:rsidRDefault="007900C0">
      <w:pPr>
        <w:autoSpaceDN w:val="0"/>
        <w:spacing w:before="150" w:after="150" w:line="360" w:lineRule="auto"/>
        <w:ind w:firstLine="420"/>
        <w:rPr>
          <w:rFonts w:ascii="宋体" w:hAnsi="宋体"/>
          <w:sz w:val="24"/>
        </w:rPr>
      </w:pPr>
      <w:r>
        <w:rPr>
          <w:rFonts w:ascii="宋体" w:hAnsi="宋体" w:hint="eastAsia"/>
          <w:color w:val="000000" w:themeColor="text1"/>
          <w:sz w:val="24"/>
        </w:rPr>
        <w:lastRenderedPageBreak/>
        <w:t>公司每年开展先进集体和先进人个评比活动，通过先进集体、先进个人评选表彰活动，宣传员工的优秀事迹，弘扬员工身上所体现的企业精神，并通过精神、理念、传统等无形的因素，陶冶员工的情操，培养员工群体意识和良好的共同习俗和道德风尚。</w:t>
      </w:r>
    </w:p>
    <w:p w:rsidR="00C75D7B" w:rsidRDefault="007900C0">
      <w:pPr>
        <w:pStyle w:val="3"/>
        <w:spacing w:line="360" w:lineRule="auto"/>
      </w:pPr>
      <w:bookmarkStart w:id="22" w:name="_Toc10666"/>
      <w:r>
        <w:rPr>
          <w:rFonts w:hint="eastAsia"/>
        </w:rPr>
        <w:t>4</w:t>
      </w:r>
      <w:r>
        <w:rPr>
          <w:rFonts w:hint="eastAsia"/>
        </w:rPr>
        <w:t>、职业健康安全</w:t>
      </w:r>
      <w:bookmarkEnd w:id="22"/>
    </w:p>
    <w:p w:rsidR="00C75D7B" w:rsidRDefault="007900C0">
      <w:pPr>
        <w:autoSpaceDN w:val="0"/>
        <w:spacing w:before="150" w:after="150" w:line="360" w:lineRule="auto"/>
        <w:ind w:firstLine="420"/>
        <w:rPr>
          <w:rFonts w:ascii="宋体" w:hAnsi="宋体"/>
          <w:sz w:val="24"/>
        </w:rPr>
      </w:pPr>
      <w:r>
        <w:rPr>
          <w:rFonts w:ascii="宋体" w:hAnsi="宋体" w:hint="eastAsia"/>
          <w:sz w:val="24"/>
        </w:rPr>
        <w:t>公司关注员工身心健康，进行全员健康体检和职业健康体检。公司每年一次为员工进行健康普查，为女员工进行妇科检查，对特殊岗位进行专项体检。与此同时，每年邀请宿迁卫健委专家到工厂开展职业健康培训，关心员工身心健康，减少或避免职业病危害。</w:t>
      </w:r>
    </w:p>
    <w:p w:rsidR="00C75D7B" w:rsidRDefault="007900C0">
      <w:pPr>
        <w:pStyle w:val="3"/>
        <w:spacing w:line="360" w:lineRule="auto"/>
      </w:pPr>
      <w:bookmarkStart w:id="23" w:name="_Toc9893"/>
      <w:r>
        <w:rPr>
          <w:rFonts w:hint="eastAsia"/>
        </w:rPr>
        <w:t>5</w:t>
      </w:r>
      <w:r>
        <w:rPr>
          <w:rFonts w:hint="eastAsia"/>
        </w:rPr>
        <w:t>、民主管理</w:t>
      </w:r>
      <w:bookmarkEnd w:id="23"/>
    </w:p>
    <w:p w:rsidR="00C75D7B" w:rsidRDefault="007900C0">
      <w:pPr>
        <w:autoSpaceDN w:val="0"/>
        <w:spacing w:before="150" w:after="150" w:line="360" w:lineRule="auto"/>
        <w:ind w:firstLine="420"/>
        <w:rPr>
          <w:rFonts w:ascii="宋体" w:hAnsi="宋体"/>
          <w:sz w:val="24"/>
        </w:rPr>
      </w:pPr>
      <w:r>
        <w:rPr>
          <w:rFonts w:ascii="宋体" w:hAnsi="宋体" w:hint="eastAsia"/>
          <w:sz w:val="24"/>
        </w:rPr>
        <w:t>公司依法建立健全工会组织，维护员工权益。支持工会依法开展各项活动，定期和工会沟通，积极回应工会及其代表所投送的报告、建议及意见书等。工会主席参与涉及员工切身利益的规章制度的编制和讨论，并通过员工（代表）大会等途径审议确定。建立工资集体协商机制，针对相关的重大事项，如：工资调整机制、奖励性工资、加班工资、最低工资水平等进行平等协商；公司全力支持员工参加工会，鼓励员工多途径参与民主管理。如：职代会制度，季度沟通会等。</w:t>
      </w:r>
    </w:p>
    <w:p w:rsidR="00C75D7B" w:rsidRDefault="007900C0">
      <w:pPr>
        <w:pStyle w:val="3"/>
        <w:spacing w:line="360" w:lineRule="auto"/>
      </w:pPr>
      <w:bookmarkStart w:id="24" w:name="_Toc11726"/>
      <w:r>
        <w:rPr>
          <w:rFonts w:hint="eastAsia"/>
        </w:rPr>
        <w:t>6</w:t>
      </w:r>
      <w:r>
        <w:rPr>
          <w:rFonts w:hint="eastAsia"/>
        </w:rPr>
        <w:t>、员工培训和发展</w:t>
      </w:r>
      <w:bookmarkEnd w:id="24"/>
    </w:p>
    <w:p w:rsidR="00C75D7B" w:rsidRDefault="007900C0">
      <w:pPr>
        <w:autoSpaceDN w:val="0"/>
        <w:spacing w:before="150" w:after="150" w:line="360" w:lineRule="auto"/>
        <w:ind w:firstLineChars="200" w:firstLine="480"/>
        <w:rPr>
          <w:rFonts w:ascii="宋体" w:hAnsi="宋体"/>
          <w:sz w:val="24"/>
        </w:rPr>
      </w:pPr>
      <w:r>
        <w:rPr>
          <w:rFonts w:ascii="宋体" w:hAnsi="宋体" w:hint="eastAsia"/>
          <w:sz w:val="24"/>
        </w:rPr>
        <w:t>开展全方位、多层次、系统性的教育培训。公司将培训内容分为学历培训、入职培训、专业培训、管理培训四种，将培训形式分为公开课、内部培训、内训、培训项目四种。公司实施个性化的员工学习与发展计划。针对管理员工，每年资助优秀员工进行学历培训。针对专业技术人员，邀请国际国内技术专家举办专题讲座，每年技术研究报告会等形式，将知识和经验进行传承。针对制造现场人员，对不同的职位开展一系列活动和培训，如上岗培训、班长培训、岗位技能培训、学历培训等等。</w:t>
      </w:r>
    </w:p>
    <w:p w:rsidR="00C75D7B" w:rsidRDefault="007900C0">
      <w:r>
        <w:rPr>
          <w:rFonts w:hint="eastAsia"/>
        </w:rPr>
        <w:br w:type="page"/>
      </w:r>
    </w:p>
    <w:p w:rsidR="00C75D7B" w:rsidRDefault="007900C0">
      <w:pPr>
        <w:pStyle w:val="2"/>
        <w:spacing w:line="360" w:lineRule="auto"/>
      </w:pPr>
      <w:bookmarkStart w:id="25" w:name="_Toc20918"/>
      <w:r>
        <w:rPr>
          <w:rFonts w:hint="eastAsia"/>
        </w:rPr>
        <w:lastRenderedPageBreak/>
        <w:t>九、社会责任</w:t>
      </w:r>
      <w:bookmarkEnd w:id="25"/>
    </w:p>
    <w:p w:rsidR="00C75D7B" w:rsidRDefault="007900C0">
      <w:pPr>
        <w:spacing w:line="360" w:lineRule="auto"/>
        <w:ind w:firstLineChars="200" w:firstLine="480"/>
        <w:rPr>
          <w:rFonts w:ascii="宋体" w:hAnsi="宋体"/>
          <w:sz w:val="24"/>
        </w:rPr>
      </w:pPr>
      <w:r>
        <w:rPr>
          <w:rFonts w:ascii="宋体" w:hAnsi="宋体" w:hint="eastAsia"/>
          <w:sz w:val="24"/>
        </w:rPr>
        <w:t>一个卓越企业既要考虑当前利益，更重要的是着眼长远可持续发展。而长远发展和持续经营，离不开社会的协同、和谐与发展。认真履行社会责任是不可小视的重要内容。宿迁新亚科技有限公司在追求经济效益、保护投资方利益、不断发展的同时，积极履行公共责任及恪守道德规范，保护职工的合法权益，诚信对待供应商、客户，做到以公司的健康发展实现投资方、员工收益同步成长，让客户满意、社会放心，从而促进公司与社会的协调、和谐发展。</w:t>
      </w:r>
    </w:p>
    <w:p w:rsidR="00C75D7B" w:rsidRDefault="007900C0">
      <w:pPr>
        <w:spacing w:line="360" w:lineRule="auto"/>
        <w:ind w:firstLineChars="200" w:firstLine="480"/>
        <w:rPr>
          <w:rFonts w:ascii="宋体" w:hAnsi="宋体"/>
          <w:sz w:val="24"/>
        </w:rPr>
      </w:pPr>
      <w:r>
        <w:rPr>
          <w:rFonts w:ascii="宋体" w:hAnsi="宋体" w:hint="eastAsia"/>
          <w:sz w:val="24"/>
        </w:rPr>
        <w:t>承担的社会责任包括：公共责任、道德规范和自愿开展的公益支持三部分。</w:t>
      </w:r>
    </w:p>
    <w:p w:rsidR="00C75D7B" w:rsidRDefault="00C75D7B">
      <w:pPr>
        <w:spacing w:line="360" w:lineRule="auto"/>
        <w:ind w:firstLineChars="200" w:firstLine="480"/>
        <w:rPr>
          <w:rFonts w:ascii="宋体" w:hAnsi="宋体"/>
          <w:sz w:val="24"/>
        </w:rPr>
      </w:pPr>
    </w:p>
    <w:p w:rsidR="00C75D7B" w:rsidRDefault="007900C0">
      <w:pPr>
        <w:spacing w:line="360" w:lineRule="auto"/>
        <w:outlineLvl w:val="1"/>
        <w:rPr>
          <w:rFonts w:ascii="宋体" w:hAnsi="宋体"/>
          <w:b/>
        </w:rPr>
      </w:pPr>
      <w:bookmarkStart w:id="26" w:name="_Toc7813"/>
      <w:r>
        <w:rPr>
          <w:rFonts w:ascii="宋体" w:hAnsi="宋体" w:hint="eastAsia"/>
          <w:b/>
          <w:sz w:val="24"/>
        </w:rPr>
        <w:t>1、公共责任</w:t>
      </w:r>
      <w:bookmarkEnd w:id="26"/>
    </w:p>
    <w:p w:rsidR="00C75D7B" w:rsidRDefault="007900C0">
      <w:pPr>
        <w:spacing w:line="360" w:lineRule="auto"/>
        <w:ind w:firstLineChars="200" w:firstLine="482"/>
        <w:rPr>
          <w:rFonts w:ascii="宋体" w:hAnsi="宋体"/>
          <w:b/>
          <w:sz w:val="24"/>
        </w:rPr>
      </w:pPr>
      <w:r>
        <w:rPr>
          <w:rFonts w:ascii="宋体" w:hAnsi="宋体" w:hint="eastAsia"/>
          <w:b/>
          <w:sz w:val="24"/>
        </w:rPr>
        <w:t>（1）公司对质量安全、环境保护、能源节约和资源综合利用以及公共卫生等方面的社会影响，并采取预防、控制和改进措施。</w:t>
      </w:r>
    </w:p>
    <w:p w:rsidR="00C75D7B" w:rsidRDefault="007900C0">
      <w:pPr>
        <w:spacing w:line="360" w:lineRule="auto"/>
        <w:ind w:firstLineChars="200" w:firstLine="480"/>
        <w:rPr>
          <w:rFonts w:ascii="宋体" w:hAnsi="宋体"/>
          <w:sz w:val="24"/>
        </w:rPr>
      </w:pPr>
      <w:r>
        <w:rPr>
          <w:rFonts w:ascii="宋体" w:hAnsi="宋体" w:hint="eastAsia"/>
          <w:sz w:val="24"/>
        </w:rPr>
        <w:t>公司严格执行GBT19001/ISO9001 质量管理体系要求，GB/T24001/ISO14001环境管理体系和GB/T28001/OHSAS18001职业健康安全管理体系要求，公司制定了严密的质量安全防控体系，公司的产品经过充分设计论证、试验、检验、测试，才能投入正常生产运行，获得了社会、员工、客户的广泛认可。</w:t>
      </w:r>
    </w:p>
    <w:p w:rsidR="00C75D7B" w:rsidRDefault="007900C0">
      <w:pPr>
        <w:spacing w:line="360" w:lineRule="auto"/>
        <w:ind w:firstLineChars="200" w:firstLine="480"/>
        <w:rPr>
          <w:rFonts w:ascii="宋体" w:hAnsi="宋体"/>
          <w:sz w:val="24"/>
        </w:rPr>
      </w:pPr>
      <w:r>
        <w:rPr>
          <w:rFonts w:ascii="宋体" w:hAnsi="宋体" w:hint="eastAsia"/>
          <w:sz w:val="24"/>
        </w:rPr>
        <w:t>公司着眼于高性能、节约环保型产品的开发，为客户提供优质产品，为企业、为客户、为社会创造了较高的经济利益，同时大大降低了资源、能源消耗。公司投入大量资金改造生产过程中循环水的使用，实现冷却水循环使用，将灯具更换为LED光源，减少能源消耗，更换所有淘汰电机，同时，公司针对降本项目成立专项小组，有效推动项目落地。</w:t>
      </w:r>
    </w:p>
    <w:p w:rsidR="00C75D7B" w:rsidRDefault="007900C0">
      <w:pPr>
        <w:spacing w:line="360" w:lineRule="auto"/>
        <w:ind w:firstLineChars="200" w:firstLine="482"/>
        <w:rPr>
          <w:rFonts w:ascii="宋体" w:hAnsi="宋体"/>
          <w:b/>
          <w:sz w:val="24"/>
        </w:rPr>
      </w:pPr>
      <w:r>
        <w:rPr>
          <w:rFonts w:ascii="宋体" w:hAnsi="宋体" w:hint="eastAsia"/>
          <w:b/>
          <w:sz w:val="24"/>
        </w:rPr>
        <w:t>(2)主动预见公众对产品、服务和运营方面的隐忧，做出应对准备</w:t>
      </w:r>
    </w:p>
    <w:p w:rsidR="00C75D7B" w:rsidRDefault="007900C0">
      <w:pPr>
        <w:spacing w:line="360" w:lineRule="auto"/>
        <w:ind w:firstLineChars="200" w:firstLine="480"/>
        <w:rPr>
          <w:rFonts w:ascii="宋体" w:hAnsi="宋体"/>
          <w:sz w:val="24"/>
        </w:rPr>
      </w:pPr>
      <w:r>
        <w:rPr>
          <w:rFonts w:ascii="宋体" w:hAnsi="宋体" w:hint="eastAsia"/>
          <w:sz w:val="24"/>
        </w:rPr>
        <w:t>公司在应对公众对新建基础设施的环境安全的隐忧问题上，除了确保配套环境、安全设施的同时设计、同时施工、同时交付使用外，应对公众对突发事件的隐忧，还制定应急预案并进行定期演练。</w:t>
      </w:r>
    </w:p>
    <w:p w:rsidR="00C75D7B" w:rsidRDefault="007900C0">
      <w:pPr>
        <w:spacing w:line="360" w:lineRule="auto"/>
        <w:ind w:firstLineChars="200" w:firstLine="480"/>
        <w:rPr>
          <w:rFonts w:ascii="宋体" w:hAnsi="宋体"/>
          <w:sz w:val="24"/>
        </w:rPr>
      </w:pPr>
      <w:r>
        <w:rPr>
          <w:rFonts w:ascii="宋体" w:hAnsi="宋体" w:hint="eastAsia"/>
          <w:sz w:val="24"/>
        </w:rPr>
        <w:t>公司在办公楼设立了明确的消防、安全应急通道、安全指示牌、应急电源指示灯等；生产现场、作业区明确安全通道、护栏、各安全消防设施存放等标识；电器设备、起重设备、机械等设备明确的载荷、安全作业指标标识；设立了疏散、集合点等等；对产品的包装安全等作出了明确要求，杜绝和抵制使用损害生态环</w:t>
      </w:r>
      <w:r>
        <w:rPr>
          <w:rFonts w:ascii="宋体" w:hAnsi="宋体" w:hint="eastAsia"/>
          <w:sz w:val="24"/>
        </w:rPr>
        <w:lastRenderedPageBreak/>
        <w:t>境的木质包装，推广安全、可重复使用以及可回收的钢结构包装方法等等。</w:t>
      </w:r>
    </w:p>
    <w:p w:rsidR="00C75D7B" w:rsidRDefault="007900C0">
      <w:pPr>
        <w:spacing w:line="360" w:lineRule="auto"/>
        <w:ind w:firstLineChars="200" w:firstLine="480"/>
        <w:rPr>
          <w:rFonts w:ascii="宋体" w:hAnsi="宋体"/>
          <w:sz w:val="24"/>
        </w:rPr>
      </w:pPr>
      <w:r>
        <w:rPr>
          <w:rFonts w:ascii="宋体" w:hAnsi="宋体" w:hint="eastAsia"/>
          <w:sz w:val="24"/>
        </w:rPr>
        <w:t>公司准确把握法规、标准、政策走向及公众关注焦点，通过行业协会信息收集、专业研究机构咨询、开展公众调查等方法，组织分析论证，听取政府机构和行业专家的意见建议，找出目前关注的环保、节能、安全生产等方面问题，不断改进完善相应的对策和措施。并在打造舒适环境、创建国际一流的花园式工业企业方面，取得了显著效果。公司针对公众隐忧的原因分析及采取措施见表1.4-1。</w:t>
      </w:r>
    </w:p>
    <w:p w:rsidR="00C75D7B" w:rsidRDefault="007900C0">
      <w:pPr>
        <w:spacing w:line="360" w:lineRule="auto"/>
        <w:jc w:val="center"/>
        <w:rPr>
          <w:rFonts w:ascii="宋体" w:hAnsi="宋体"/>
          <w:szCs w:val="21"/>
        </w:rPr>
      </w:pPr>
      <w:r>
        <w:rPr>
          <w:rFonts w:ascii="宋体" w:hAnsi="宋体" w:hint="eastAsia"/>
          <w:szCs w:val="21"/>
        </w:rPr>
        <w:t>表1.4-1  公司针对公众隐忧的原因分析及采取措施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2"/>
        <w:gridCol w:w="1621"/>
        <w:gridCol w:w="5757"/>
      </w:tblGrid>
      <w:tr w:rsidR="00C75D7B">
        <w:trPr>
          <w:trHeight w:val="505"/>
        </w:trPr>
        <w:tc>
          <w:tcPr>
            <w:tcW w:w="1082" w:type="dxa"/>
            <w:shd w:val="clear" w:color="auto" w:fill="D7D7D7"/>
            <w:vAlign w:val="center"/>
          </w:tcPr>
          <w:p w:rsidR="00C75D7B" w:rsidRDefault="007900C0">
            <w:pPr>
              <w:spacing w:line="360" w:lineRule="auto"/>
              <w:jc w:val="center"/>
              <w:rPr>
                <w:rFonts w:ascii="宋体" w:hAnsi="宋体"/>
                <w:b/>
                <w:bCs/>
                <w:szCs w:val="21"/>
              </w:rPr>
            </w:pPr>
            <w:r>
              <w:rPr>
                <w:rFonts w:ascii="宋体" w:hAnsi="宋体" w:hint="eastAsia"/>
                <w:b/>
                <w:bCs/>
                <w:szCs w:val="21"/>
              </w:rPr>
              <w:t>公共</w:t>
            </w:r>
          </w:p>
          <w:p w:rsidR="00C75D7B" w:rsidRDefault="007900C0">
            <w:pPr>
              <w:spacing w:line="360" w:lineRule="auto"/>
              <w:jc w:val="center"/>
              <w:rPr>
                <w:rFonts w:ascii="宋体" w:hAnsi="宋体"/>
                <w:b/>
                <w:bCs/>
                <w:szCs w:val="21"/>
              </w:rPr>
            </w:pPr>
            <w:r>
              <w:rPr>
                <w:rFonts w:ascii="宋体" w:hAnsi="宋体" w:hint="eastAsia"/>
                <w:b/>
                <w:bCs/>
                <w:szCs w:val="21"/>
              </w:rPr>
              <w:t>隐忧</w:t>
            </w:r>
          </w:p>
        </w:tc>
        <w:tc>
          <w:tcPr>
            <w:tcW w:w="1621" w:type="dxa"/>
            <w:shd w:val="clear" w:color="auto" w:fill="D7D7D7"/>
            <w:vAlign w:val="center"/>
          </w:tcPr>
          <w:p w:rsidR="00C75D7B" w:rsidRDefault="007900C0">
            <w:pPr>
              <w:spacing w:line="360" w:lineRule="auto"/>
              <w:jc w:val="center"/>
              <w:rPr>
                <w:rFonts w:ascii="宋体" w:hAnsi="宋体"/>
                <w:b/>
                <w:bCs/>
                <w:szCs w:val="21"/>
              </w:rPr>
            </w:pPr>
            <w:r>
              <w:rPr>
                <w:rFonts w:ascii="宋体" w:hAnsi="宋体" w:hint="eastAsia"/>
                <w:b/>
                <w:bCs/>
                <w:szCs w:val="21"/>
              </w:rPr>
              <w:t>产生原因</w:t>
            </w:r>
          </w:p>
        </w:tc>
        <w:tc>
          <w:tcPr>
            <w:tcW w:w="5757" w:type="dxa"/>
            <w:shd w:val="clear" w:color="auto" w:fill="D7D7D7"/>
            <w:vAlign w:val="center"/>
          </w:tcPr>
          <w:p w:rsidR="00C75D7B" w:rsidRDefault="007900C0">
            <w:pPr>
              <w:spacing w:line="360" w:lineRule="auto"/>
              <w:jc w:val="center"/>
              <w:rPr>
                <w:rFonts w:ascii="宋体" w:hAnsi="宋体"/>
                <w:b/>
                <w:bCs/>
                <w:szCs w:val="21"/>
              </w:rPr>
            </w:pPr>
            <w:r>
              <w:rPr>
                <w:rFonts w:ascii="宋体" w:hAnsi="宋体" w:hint="eastAsia"/>
                <w:b/>
                <w:bCs/>
                <w:szCs w:val="21"/>
              </w:rPr>
              <w:t>应对措施</w:t>
            </w:r>
          </w:p>
        </w:tc>
      </w:tr>
      <w:tr w:rsidR="00C75D7B">
        <w:trPr>
          <w:trHeight w:val="566"/>
        </w:trPr>
        <w:tc>
          <w:tcPr>
            <w:tcW w:w="1082" w:type="dxa"/>
            <w:shd w:val="clear" w:color="auto" w:fill="D7D7D7"/>
            <w:vAlign w:val="center"/>
          </w:tcPr>
          <w:p w:rsidR="00C75D7B" w:rsidRDefault="007900C0">
            <w:pPr>
              <w:spacing w:line="360" w:lineRule="auto"/>
              <w:jc w:val="center"/>
              <w:rPr>
                <w:rFonts w:ascii="宋体" w:hAnsi="宋体"/>
                <w:b/>
                <w:bCs/>
                <w:szCs w:val="21"/>
              </w:rPr>
            </w:pPr>
            <w:r>
              <w:rPr>
                <w:rFonts w:ascii="宋体" w:hAnsi="宋体" w:hint="eastAsia"/>
                <w:b/>
                <w:bCs/>
                <w:szCs w:val="21"/>
              </w:rPr>
              <w:t>产品安全</w:t>
            </w:r>
          </w:p>
        </w:tc>
        <w:tc>
          <w:tcPr>
            <w:tcW w:w="1621" w:type="dxa"/>
            <w:vAlign w:val="center"/>
          </w:tcPr>
          <w:p w:rsidR="00C75D7B" w:rsidRDefault="007900C0">
            <w:pPr>
              <w:spacing w:line="360" w:lineRule="auto"/>
              <w:rPr>
                <w:rFonts w:ascii="宋体" w:hAnsi="宋体"/>
                <w:szCs w:val="21"/>
              </w:rPr>
            </w:pPr>
            <w:r>
              <w:rPr>
                <w:rFonts w:ascii="宋体" w:hAnsi="宋体" w:hint="eastAsia"/>
                <w:szCs w:val="21"/>
              </w:rPr>
              <w:t>有害物质</w:t>
            </w:r>
          </w:p>
        </w:tc>
        <w:tc>
          <w:tcPr>
            <w:tcW w:w="5757" w:type="dxa"/>
            <w:vAlign w:val="center"/>
          </w:tcPr>
          <w:p w:rsidR="00C75D7B" w:rsidRDefault="007900C0">
            <w:pPr>
              <w:spacing w:line="360" w:lineRule="auto"/>
              <w:rPr>
                <w:rFonts w:ascii="宋体" w:hAnsi="宋体"/>
                <w:szCs w:val="21"/>
              </w:rPr>
            </w:pPr>
            <w:r>
              <w:rPr>
                <w:rFonts w:ascii="宋体" w:hAnsi="宋体" w:hint="eastAsia"/>
                <w:szCs w:val="21"/>
              </w:rPr>
              <w:t>杜绝使用有害身体健康、有害环境安全的物质和材料。</w:t>
            </w:r>
          </w:p>
        </w:tc>
      </w:tr>
      <w:tr w:rsidR="00C75D7B">
        <w:trPr>
          <w:trHeight w:val="1399"/>
        </w:trPr>
        <w:tc>
          <w:tcPr>
            <w:tcW w:w="1082" w:type="dxa"/>
            <w:shd w:val="clear" w:color="auto" w:fill="D7D7D7"/>
            <w:vAlign w:val="center"/>
          </w:tcPr>
          <w:p w:rsidR="00C75D7B" w:rsidRDefault="007900C0">
            <w:pPr>
              <w:spacing w:line="360" w:lineRule="auto"/>
              <w:jc w:val="center"/>
              <w:rPr>
                <w:rFonts w:ascii="宋体" w:hAnsi="宋体"/>
                <w:b/>
                <w:bCs/>
                <w:szCs w:val="21"/>
              </w:rPr>
            </w:pPr>
            <w:r>
              <w:rPr>
                <w:rFonts w:ascii="宋体" w:hAnsi="宋体" w:hint="eastAsia"/>
                <w:b/>
                <w:bCs/>
                <w:szCs w:val="21"/>
              </w:rPr>
              <w:t>环境</w:t>
            </w:r>
          </w:p>
          <w:p w:rsidR="00C75D7B" w:rsidRDefault="007900C0">
            <w:pPr>
              <w:spacing w:line="360" w:lineRule="auto"/>
              <w:jc w:val="center"/>
              <w:rPr>
                <w:rFonts w:ascii="宋体" w:hAnsi="宋体"/>
                <w:b/>
                <w:bCs/>
                <w:szCs w:val="21"/>
              </w:rPr>
            </w:pPr>
            <w:r>
              <w:rPr>
                <w:rFonts w:ascii="宋体" w:hAnsi="宋体" w:hint="eastAsia"/>
                <w:b/>
                <w:bCs/>
                <w:szCs w:val="21"/>
              </w:rPr>
              <w:t>污染</w:t>
            </w:r>
          </w:p>
        </w:tc>
        <w:tc>
          <w:tcPr>
            <w:tcW w:w="1621" w:type="dxa"/>
            <w:vAlign w:val="center"/>
          </w:tcPr>
          <w:p w:rsidR="00C75D7B" w:rsidRDefault="007900C0">
            <w:pPr>
              <w:spacing w:line="360" w:lineRule="auto"/>
              <w:rPr>
                <w:rFonts w:ascii="宋体" w:hAnsi="宋体"/>
                <w:szCs w:val="21"/>
              </w:rPr>
            </w:pPr>
            <w:r>
              <w:rPr>
                <w:rFonts w:ascii="宋体" w:hAnsi="宋体" w:hint="eastAsia"/>
                <w:szCs w:val="21"/>
              </w:rPr>
              <w:t>废水、噪音、固体废弃物等会对周边环境带来污染。</w:t>
            </w:r>
          </w:p>
        </w:tc>
        <w:tc>
          <w:tcPr>
            <w:tcW w:w="5757" w:type="dxa"/>
            <w:vAlign w:val="center"/>
          </w:tcPr>
          <w:p w:rsidR="00C75D7B" w:rsidRDefault="007900C0">
            <w:pPr>
              <w:spacing w:line="360" w:lineRule="auto"/>
              <w:rPr>
                <w:rFonts w:ascii="宋体" w:hAnsi="宋体"/>
                <w:szCs w:val="21"/>
              </w:rPr>
            </w:pPr>
            <w:r>
              <w:rPr>
                <w:rFonts w:ascii="宋体" w:hAnsi="宋体" w:hint="eastAsia"/>
                <w:szCs w:val="21"/>
              </w:rPr>
              <w:t>生活污水通过市政管道统一排往污水处理厂处理。固体废弃物采用集中存放，并与有资质单位签订合同分类处理。</w:t>
            </w:r>
          </w:p>
        </w:tc>
      </w:tr>
      <w:tr w:rsidR="00C75D7B">
        <w:trPr>
          <w:trHeight w:val="844"/>
        </w:trPr>
        <w:tc>
          <w:tcPr>
            <w:tcW w:w="1082" w:type="dxa"/>
            <w:shd w:val="clear" w:color="auto" w:fill="D7D7D7"/>
            <w:vAlign w:val="center"/>
          </w:tcPr>
          <w:p w:rsidR="00C75D7B" w:rsidRDefault="007900C0">
            <w:pPr>
              <w:spacing w:line="360" w:lineRule="auto"/>
              <w:jc w:val="center"/>
              <w:rPr>
                <w:rFonts w:ascii="宋体" w:hAnsi="宋体"/>
                <w:b/>
                <w:bCs/>
                <w:szCs w:val="21"/>
              </w:rPr>
            </w:pPr>
            <w:r>
              <w:rPr>
                <w:rFonts w:ascii="宋体" w:hAnsi="宋体" w:hint="eastAsia"/>
                <w:b/>
                <w:bCs/>
                <w:szCs w:val="21"/>
              </w:rPr>
              <w:t>能源消耗</w:t>
            </w:r>
          </w:p>
        </w:tc>
        <w:tc>
          <w:tcPr>
            <w:tcW w:w="1621" w:type="dxa"/>
            <w:vAlign w:val="center"/>
          </w:tcPr>
          <w:p w:rsidR="00C75D7B" w:rsidRDefault="007900C0">
            <w:pPr>
              <w:spacing w:line="360" w:lineRule="auto"/>
              <w:rPr>
                <w:rFonts w:ascii="宋体" w:hAnsi="宋体"/>
                <w:szCs w:val="21"/>
              </w:rPr>
            </w:pPr>
            <w:r>
              <w:rPr>
                <w:rFonts w:ascii="宋体" w:hAnsi="宋体" w:hint="eastAsia"/>
                <w:szCs w:val="21"/>
              </w:rPr>
              <w:t>水、电、蒸汽、天然气消耗。</w:t>
            </w:r>
          </w:p>
        </w:tc>
        <w:tc>
          <w:tcPr>
            <w:tcW w:w="5757" w:type="dxa"/>
            <w:vAlign w:val="center"/>
          </w:tcPr>
          <w:p w:rsidR="00C75D7B" w:rsidRDefault="007900C0">
            <w:pPr>
              <w:spacing w:line="360" w:lineRule="auto"/>
              <w:rPr>
                <w:rFonts w:ascii="宋体" w:hAnsi="宋体"/>
                <w:szCs w:val="21"/>
              </w:rPr>
            </w:pPr>
            <w:r>
              <w:rPr>
                <w:rFonts w:ascii="宋体" w:hAnsi="宋体" w:hint="eastAsia"/>
                <w:szCs w:val="21"/>
              </w:rPr>
              <w:t>严格杜绝跑、冒、滴漏现象，自觉抵制长明灯、无人灯，做到随用随开、随停随闭，响应国家峰谷用电政策。</w:t>
            </w:r>
          </w:p>
        </w:tc>
      </w:tr>
      <w:tr w:rsidR="00C75D7B">
        <w:trPr>
          <w:trHeight w:val="1255"/>
        </w:trPr>
        <w:tc>
          <w:tcPr>
            <w:tcW w:w="1082" w:type="dxa"/>
            <w:shd w:val="clear" w:color="auto" w:fill="D7D7D7"/>
            <w:vAlign w:val="center"/>
          </w:tcPr>
          <w:p w:rsidR="00C75D7B" w:rsidRDefault="007900C0">
            <w:pPr>
              <w:spacing w:line="360" w:lineRule="auto"/>
              <w:jc w:val="center"/>
              <w:rPr>
                <w:rFonts w:ascii="宋体" w:hAnsi="宋体"/>
                <w:b/>
                <w:bCs/>
                <w:szCs w:val="21"/>
              </w:rPr>
            </w:pPr>
            <w:r>
              <w:rPr>
                <w:rFonts w:ascii="宋体" w:hAnsi="宋体" w:hint="eastAsia"/>
                <w:b/>
                <w:bCs/>
                <w:szCs w:val="21"/>
              </w:rPr>
              <w:t>安全生产</w:t>
            </w:r>
          </w:p>
        </w:tc>
        <w:tc>
          <w:tcPr>
            <w:tcW w:w="1621" w:type="dxa"/>
            <w:vAlign w:val="center"/>
          </w:tcPr>
          <w:p w:rsidR="00C75D7B" w:rsidRDefault="007900C0">
            <w:pPr>
              <w:spacing w:line="360" w:lineRule="auto"/>
              <w:rPr>
                <w:rFonts w:ascii="宋体" w:hAnsi="宋体"/>
                <w:szCs w:val="21"/>
              </w:rPr>
            </w:pPr>
            <w:r>
              <w:rPr>
                <w:rFonts w:ascii="宋体" w:hAnsi="宋体" w:hint="eastAsia"/>
                <w:szCs w:val="21"/>
              </w:rPr>
              <w:t>火警、火灾事故会对周边居民生活带来影响。</w:t>
            </w:r>
          </w:p>
        </w:tc>
        <w:tc>
          <w:tcPr>
            <w:tcW w:w="5757" w:type="dxa"/>
            <w:vAlign w:val="center"/>
          </w:tcPr>
          <w:p w:rsidR="00C75D7B" w:rsidRDefault="007900C0">
            <w:pPr>
              <w:spacing w:line="360" w:lineRule="auto"/>
              <w:rPr>
                <w:rFonts w:ascii="宋体" w:hAnsi="宋体"/>
                <w:szCs w:val="21"/>
              </w:rPr>
            </w:pPr>
            <w:r>
              <w:rPr>
                <w:rFonts w:ascii="宋体" w:hAnsi="宋体" w:hint="eastAsia"/>
                <w:szCs w:val="21"/>
              </w:rPr>
              <w:t>安全生产以预防为主，从源头抓起，从制度层面到每一个作业环节，杜绝安全隐患源，从领导到员工人人关心安全，抵制不安全行为，杜绝安全事故发生。同时做到突发事件应急预案，实现事故为零。</w:t>
            </w:r>
          </w:p>
        </w:tc>
      </w:tr>
      <w:tr w:rsidR="00C75D7B">
        <w:trPr>
          <w:trHeight w:val="1433"/>
        </w:trPr>
        <w:tc>
          <w:tcPr>
            <w:tcW w:w="1082" w:type="dxa"/>
            <w:shd w:val="clear" w:color="auto" w:fill="D7D7D7"/>
            <w:vAlign w:val="center"/>
          </w:tcPr>
          <w:p w:rsidR="00C75D7B" w:rsidRDefault="007900C0">
            <w:pPr>
              <w:spacing w:line="360" w:lineRule="auto"/>
              <w:jc w:val="center"/>
              <w:rPr>
                <w:rFonts w:ascii="宋体" w:hAnsi="宋体"/>
                <w:b/>
                <w:bCs/>
                <w:szCs w:val="21"/>
              </w:rPr>
            </w:pPr>
            <w:r>
              <w:rPr>
                <w:rFonts w:ascii="宋体" w:hAnsi="宋体" w:hint="eastAsia"/>
                <w:b/>
                <w:bCs/>
                <w:szCs w:val="21"/>
              </w:rPr>
              <w:t>公共</w:t>
            </w:r>
          </w:p>
          <w:p w:rsidR="00C75D7B" w:rsidRDefault="007900C0">
            <w:pPr>
              <w:spacing w:line="360" w:lineRule="auto"/>
              <w:jc w:val="center"/>
              <w:rPr>
                <w:rFonts w:ascii="宋体" w:hAnsi="宋体"/>
                <w:b/>
                <w:bCs/>
                <w:szCs w:val="21"/>
              </w:rPr>
            </w:pPr>
            <w:r>
              <w:rPr>
                <w:rFonts w:ascii="宋体" w:hAnsi="宋体" w:hint="eastAsia"/>
                <w:b/>
                <w:bCs/>
                <w:szCs w:val="21"/>
              </w:rPr>
              <w:t>卫生</w:t>
            </w:r>
          </w:p>
        </w:tc>
        <w:tc>
          <w:tcPr>
            <w:tcW w:w="1621" w:type="dxa"/>
            <w:vAlign w:val="center"/>
          </w:tcPr>
          <w:p w:rsidR="00C75D7B" w:rsidRDefault="007900C0">
            <w:pPr>
              <w:spacing w:line="360" w:lineRule="auto"/>
              <w:rPr>
                <w:rFonts w:ascii="宋体" w:hAnsi="宋体"/>
                <w:szCs w:val="21"/>
              </w:rPr>
            </w:pPr>
            <w:r>
              <w:rPr>
                <w:rFonts w:ascii="宋体" w:hAnsi="宋体" w:hint="eastAsia"/>
                <w:szCs w:val="21"/>
              </w:rPr>
              <w:t>生活垃圾等会影响员工健康与环境</w:t>
            </w:r>
          </w:p>
        </w:tc>
        <w:tc>
          <w:tcPr>
            <w:tcW w:w="5757" w:type="dxa"/>
            <w:vAlign w:val="center"/>
          </w:tcPr>
          <w:p w:rsidR="00C75D7B" w:rsidRDefault="007900C0">
            <w:pPr>
              <w:spacing w:line="360" w:lineRule="auto"/>
              <w:rPr>
                <w:rFonts w:ascii="宋体" w:hAnsi="宋体"/>
                <w:szCs w:val="21"/>
              </w:rPr>
            </w:pPr>
            <w:r>
              <w:rPr>
                <w:rFonts w:ascii="宋体" w:hAnsi="宋体" w:hint="eastAsia"/>
                <w:szCs w:val="21"/>
              </w:rPr>
              <w:t>推行自查自纠为主，环境卫生无死角，生活垃圾分类存放，指定有资质单位回收处理，听取政府部门意见，不断改进提高。</w:t>
            </w:r>
          </w:p>
        </w:tc>
      </w:tr>
    </w:tbl>
    <w:p w:rsidR="00C75D7B" w:rsidRDefault="00C75D7B">
      <w:pPr>
        <w:spacing w:line="360" w:lineRule="auto"/>
        <w:ind w:firstLineChars="200" w:firstLine="480"/>
        <w:rPr>
          <w:rFonts w:ascii="宋体" w:hAnsi="宋体"/>
          <w:sz w:val="24"/>
        </w:rPr>
      </w:pPr>
    </w:p>
    <w:p w:rsidR="00C75D7B" w:rsidRDefault="007900C0">
      <w:pPr>
        <w:spacing w:line="360" w:lineRule="auto"/>
        <w:ind w:firstLineChars="200" w:firstLine="482"/>
        <w:rPr>
          <w:rFonts w:ascii="宋体" w:hAnsi="宋体"/>
          <w:b/>
          <w:sz w:val="24"/>
        </w:rPr>
      </w:pPr>
      <w:r>
        <w:rPr>
          <w:rFonts w:ascii="宋体" w:hAnsi="宋体" w:hint="eastAsia"/>
          <w:b/>
          <w:sz w:val="24"/>
        </w:rPr>
        <w:t>(3)识别和评估相关风险，在合法合规的基础上持续提升</w:t>
      </w:r>
    </w:p>
    <w:p w:rsidR="00C75D7B" w:rsidRDefault="007900C0">
      <w:pPr>
        <w:spacing w:line="360" w:lineRule="auto"/>
        <w:ind w:firstLineChars="200" w:firstLine="480"/>
        <w:rPr>
          <w:rFonts w:ascii="宋体" w:hAnsi="宋体"/>
          <w:sz w:val="24"/>
        </w:rPr>
      </w:pPr>
      <w:r>
        <w:rPr>
          <w:rFonts w:ascii="宋体" w:hAnsi="宋体" w:hint="eastAsia"/>
          <w:sz w:val="24"/>
        </w:rPr>
        <w:t>公司高层将法律、法规作为必须条件和最低要求的同时，深刻认识到肩负的社会责任的意义，在识别和评估相关风险的基础上，建立遵循法律法规要求和应对相关风险的关键过程及绩效指标，制定预防、控制程序和改进方案，在持续改进的基础上达到更高水平。</w:t>
      </w:r>
    </w:p>
    <w:p w:rsidR="00C75D7B" w:rsidRDefault="007900C0">
      <w:pPr>
        <w:spacing w:line="360" w:lineRule="auto"/>
        <w:ind w:firstLineChars="200" w:firstLine="480"/>
        <w:rPr>
          <w:rFonts w:ascii="宋体" w:hAnsi="宋体"/>
          <w:sz w:val="24"/>
        </w:rPr>
      </w:pPr>
      <w:r>
        <w:rPr>
          <w:rFonts w:ascii="宋体" w:hAnsi="宋体" w:hint="eastAsia"/>
          <w:sz w:val="24"/>
        </w:rPr>
        <w:lastRenderedPageBreak/>
        <w:t>以节能减排、保护环境为例：公司在严格执行“环境影响评价”和环保“三同时”制度、严格执行各项环境保护法律法规，落实环保减排、节能降耗的有关政策的同时，主动加快产品结构调整、新型节能产品研发与推广，以HSE职业健康、安全、环境为主线，进一步改善工作环境，加大环境污染治理力度，形成环境保护长效工作机制。</w:t>
      </w:r>
    </w:p>
    <w:p w:rsidR="00C75D7B" w:rsidRDefault="00C75D7B">
      <w:pPr>
        <w:spacing w:line="360" w:lineRule="auto"/>
        <w:rPr>
          <w:rFonts w:ascii="宋体" w:hAnsi="宋体"/>
          <w:szCs w:val="21"/>
        </w:rPr>
      </w:pPr>
    </w:p>
    <w:p w:rsidR="00C75D7B" w:rsidRDefault="007900C0">
      <w:pPr>
        <w:spacing w:line="360" w:lineRule="auto"/>
        <w:outlineLvl w:val="1"/>
        <w:rPr>
          <w:rFonts w:ascii="宋体" w:hAnsi="宋体"/>
          <w:b/>
          <w:sz w:val="24"/>
        </w:rPr>
      </w:pPr>
      <w:bookmarkStart w:id="27" w:name="_Toc30452"/>
      <w:r>
        <w:rPr>
          <w:rFonts w:ascii="宋体" w:hAnsi="宋体" w:hint="eastAsia"/>
          <w:b/>
          <w:sz w:val="24"/>
        </w:rPr>
        <w:t>2、道德行为</w:t>
      </w:r>
      <w:bookmarkEnd w:id="27"/>
    </w:p>
    <w:p w:rsidR="00C75D7B" w:rsidRDefault="007900C0">
      <w:pPr>
        <w:spacing w:line="360" w:lineRule="auto"/>
        <w:ind w:firstLineChars="200" w:firstLine="480"/>
        <w:rPr>
          <w:rFonts w:ascii="宋体" w:hAnsi="宋体"/>
          <w:sz w:val="24"/>
        </w:rPr>
      </w:pPr>
      <w:r>
        <w:rPr>
          <w:rFonts w:ascii="宋体" w:hAnsi="宋体" w:hint="eastAsia"/>
          <w:sz w:val="24"/>
        </w:rPr>
        <w:t>企业道德行为是组织在决策、行动以及与利益相关方间交往活动中，遵守道德准则和职业操守的表现。从高层领导到一般员工都应遵守道德规范，并影响组织的利益相关方。</w:t>
      </w:r>
    </w:p>
    <w:p w:rsidR="00C75D7B" w:rsidRDefault="007900C0">
      <w:pPr>
        <w:spacing w:line="360" w:lineRule="auto"/>
        <w:ind w:firstLineChars="200" w:firstLine="480"/>
        <w:rPr>
          <w:rFonts w:ascii="宋体" w:hAnsi="宋体"/>
          <w:sz w:val="24"/>
        </w:rPr>
      </w:pPr>
      <w:r>
        <w:rPr>
          <w:rFonts w:ascii="宋体" w:hAnsi="宋体" w:hint="eastAsia"/>
          <w:sz w:val="24"/>
        </w:rPr>
        <w:t>高层领导从自身做起，秉承“敬业、奉献、诚信、守法、创新、务实、共赢”的价值观，在公司内外形成了良好的道德行为规范。公司建立并持续完善企业道德行为检测体系，规范管理、诚信对待顾客，公正对待供应商，形成从高层到基层、产业链由上游到下游一整套的评价体系，规范道德行为。</w:t>
      </w:r>
    </w:p>
    <w:p w:rsidR="00C75D7B" w:rsidRDefault="007900C0">
      <w:pPr>
        <w:spacing w:line="360" w:lineRule="auto"/>
        <w:ind w:firstLineChars="200" w:firstLine="482"/>
        <w:rPr>
          <w:rFonts w:ascii="宋体" w:hAnsi="宋体"/>
          <w:b/>
          <w:sz w:val="24"/>
        </w:rPr>
      </w:pPr>
      <w:r>
        <w:rPr>
          <w:rFonts w:ascii="宋体" w:hAnsi="宋体" w:hint="eastAsia"/>
          <w:b/>
          <w:sz w:val="24"/>
        </w:rPr>
        <w:t>(1)营造诚信守法经营环境</w:t>
      </w:r>
    </w:p>
    <w:p w:rsidR="00C75D7B" w:rsidRDefault="007900C0">
      <w:pPr>
        <w:spacing w:line="360" w:lineRule="auto"/>
        <w:ind w:firstLineChars="200" w:firstLine="480"/>
        <w:rPr>
          <w:rFonts w:ascii="宋体" w:hAnsi="宋体"/>
          <w:sz w:val="24"/>
        </w:rPr>
      </w:pPr>
      <w:r>
        <w:rPr>
          <w:rFonts w:ascii="宋体" w:hAnsi="宋体" w:hint="eastAsia"/>
          <w:sz w:val="24"/>
        </w:rPr>
        <w:t>诚信作为宿迁新亚科技有限公司组织道德行为中的基本准则。高层领导率先垂范，在整个组织中倡导诚信、践行诚信。</w:t>
      </w:r>
    </w:p>
    <w:p w:rsidR="00C75D7B" w:rsidRDefault="007900C0">
      <w:pPr>
        <w:spacing w:line="360" w:lineRule="auto"/>
        <w:ind w:firstLineChars="200" w:firstLine="482"/>
        <w:rPr>
          <w:rFonts w:ascii="宋体" w:hAnsi="宋体"/>
          <w:sz w:val="24"/>
        </w:rPr>
      </w:pPr>
      <w:r>
        <w:rPr>
          <w:rFonts w:ascii="宋体" w:hAnsi="宋体" w:hint="eastAsia"/>
          <w:b/>
          <w:sz w:val="24"/>
        </w:rPr>
        <w:t>员工诚信守法：</w:t>
      </w:r>
      <w:r>
        <w:rPr>
          <w:rFonts w:ascii="宋体" w:hAnsi="宋体" w:hint="eastAsia"/>
          <w:sz w:val="24"/>
        </w:rPr>
        <w:t>企业与所有员工签订劳动合同的同时，企业还制定了《员工手册》，与部分岗位员工签订了保密协议和竞业禁止协议。对员工的职业道德、诚信守法、纪律规范、知识产权等进行了严格规定。对员工的诚信守法行为进行了规定：</w:t>
      </w:r>
    </w:p>
    <w:p w:rsidR="00C75D7B" w:rsidRDefault="007900C0">
      <w:pPr>
        <w:numPr>
          <w:ilvl w:val="0"/>
          <w:numId w:val="4"/>
        </w:numPr>
        <w:spacing w:line="360" w:lineRule="auto"/>
        <w:ind w:left="0" w:firstLineChars="200" w:firstLine="480"/>
        <w:rPr>
          <w:rFonts w:ascii="宋体" w:hAnsi="宋体"/>
          <w:sz w:val="24"/>
        </w:rPr>
      </w:pPr>
      <w:r>
        <w:rPr>
          <w:rFonts w:ascii="宋体" w:hAnsi="宋体" w:hint="eastAsia"/>
          <w:sz w:val="24"/>
        </w:rPr>
        <w:t>所有员工必须严格遵守公司和国家的相关法律以及公司的安全管理要求、作业指引、安全操作规程等，以健康安全的方式进行作业，并对自己行为负责；</w:t>
      </w:r>
    </w:p>
    <w:p w:rsidR="00C75D7B" w:rsidRDefault="007900C0">
      <w:pPr>
        <w:numPr>
          <w:ilvl w:val="0"/>
          <w:numId w:val="4"/>
        </w:numPr>
        <w:spacing w:line="360" w:lineRule="auto"/>
        <w:ind w:left="0" w:firstLineChars="200" w:firstLine="480"/>
        <w:rPr>
          <w:rFonts w:ascii="宋体" w:hAnsi="宋体"/>
          <w:sz w:val="24"/>
        </w:rPr>
      </w:pPr>
      <w:r>
        <w:rPr>
          <w:rFonts w:ascii="宋体" w:hAnsi="宋体" w:hint="eastAsia"/>
          <w:sz w:val="24"/>
        </w:rPr>
        <w:t>员工未及时、如实地进行利益冲突批露，公司有权采取相应的纪律处罚措施直至解除劳动合同；</w:t>
      </w:r>
    </w:p>
    <w:p w:rsidR="00C75D7B" w:rsidRDefault="007900C0">
      <w:pPr>
        <w:numPr>
          <w:ilvl w:val="0"/>
          <w:numId w:val="4"/>
        </w:numPr>
        <w:spacing w:line="360" w:lineRule="auto"/>
        <w:ind w:left="0" w:firstLineChars="200" w:firstLine="480"/>
        <w:rPr>
          <w:rFonts w:ascii="宋体" w:hAnsi="宋体"/>
          <w:sz w:val="24"/>
        </w:rPr>
      </w:pPr>
      <w:r>
        <w:rPr>
          <w:rFonts w:ascii="宋体" w:hAnsi="宋体" w:hint="eastAsia"/>
          <w:sz w:val="24"/>
        </w:rPr>
        <w:t>寻衅滋事、聚众闹事或要挟，妨碍公司正常生产公共秩序的，经查证属实，公司有权立即解除违纪员工的劳动合同，没有任何经济补偿；</w:t>
      </w:r>
    </w:p>
    <w:p w:rsidR="00C75D7B" w:rsidRDefault="007900C0">
      <w:pPr>
        <w:numPr>
          <w:ilvl w:val="0"/>
          <w:numId w:val="4"/>
        </w:numPr>
        <w:spacing w:line="360" w:lineRule="auto"/>
        <w:ind w:left="0" w:firstLineChars="200" w:firstLine="480"/>
        <w:rPr>
          <w:rFonts w:ascii="宋体" w:hAnsi="宋体"/>
          <w:sz w:val="24"/>
        </w:rPr>
      </w:pPr>
      <w:r>
        <w:rPr>
          <w:rFonts w:ascii="宋体" w:hAnsi="宋体" w:hint="eastAsia"/>
          <w:sz w:val="24"/>
        </w:rPr>
        <w:t>向公司客户或业务伙伴提供现金等价物作为礼品，现金等价物包括但不限于：任何形式的礼品卡、由任何商业机构、银行或金融机构发行的购物卡或超</w:t>
      </w:r>
      <w:r>
        <w:rPr>
          <w:rFonts w:ascii="宋体" w:hAnsi="宋体" w:hint="eastAsia"/>
          <w:sz w:val="24"/>
        </w:rPr>
        <w:lastRenderedPageBreak/>
        <w:t>市卡，经查证属实，公司有权立即解除违纪员工的劳动合同，没有任何经济补偿。</w:t>
      </w:r>
    </w:p>
    <w:p w:rsidR="00C75D7B" w:rsidRDefault="007900C0">
      <w:pPr>
        <w:numPr>
          <w:ilvl w:val="0"/>
          <w:numId w:val="4"/>
        </w:numPr>
        <w:spacing w:line="360" w:lineRule="auto"/>
        <w:ind w:left="0" w:firstLineChars="200" w:firstLine="480"/>
        <w:rPr>
          <w:rFonts w:ascii="宋体" w:hAnsi="宋体"/>
          <w:sz w:val="24"/>
        </w:rPr>
      </w:pPr>
      <w:r>
        <w:rPr>
          <w:rFonts w:ascii="宋体" w:hAnsi="宋体" w:hint="eastAsia"/>
          <w:sz w:val="24"/>
        </w:rPr>
        <w:t>未经公司批准擅自泄露公司商业秘密，包括技术信息和经营信息，公司有权立即解除违约员工的劳动合同，如员工行为给公司造成经济损失的，公司保留向员工追偿的权力；</w:t>
      </w:r>
    </w:p>
    <w:p w:rsidR="00C75D7B" w:rsidRDefault="007900C0">
      <w:pPr>
        <w:numPr>
          <w:ilvl w:val="0"/>
          <w:numId w:val="4"/>
        </w:numPr>
        <w:spacing w:line="360" w:lineRule="auto"/>
        <w:ind w:left="0" w:firstLineChars="200" w:firstLine="480"/>
        <w:rPr>
          <w:rFonts w:ascii="宋体" w:hAnsi="宋体"/>
          <w:sz w:val="24"/>
        </w:rPr>
      </w:pPr>
      <w:r>
        <w:rPr>
          <w:rFonts w:ascii="宋体" w:hAnsi="宋体" w:hint="eastAsia"/>
          <w:sz w:val="24"/>
        </w:rPr>
        <w:t>违反公平竞争规则，与竞争对手共谋达成垄断协议，或竞争对手、其员工或代表直接或间接或间接（包括通过行业协会或其他行业团体或集体、独立顾问或其他第三方）讨论、分享或获取商业敏感信息的，经查证属实，公司有权立即解除违纪员工的劳动合同，没有任何经济补偿；</w:t>
      </w:r>
    </w:p>
    <w:p w:rsidR="00C75D7B" w:rsidRDefault="007900C0">
      <w:pPr>
        <w:numPr>
          <w:ilvl w:val="0"/>
          <w:numId w:val="4"/>
        </w:numPr>
        <w:spacing w:line="360" w:lineRule="auto"/>
        <w:ind w:left="0" w:firstLineChars="200" w:firstLine="480"/>
        <w:rPr>
          <w:rFonts w:ascii="宋体" w:hAnsi="宋体"/>
          <w:sz w:val="24"/>
        </w:rPr>
      </w:pPr>
      <w:r>
        <w:rPr>
          <w:rFonts w:ascii="宋体" w:hAnsi="宋体" w:hint="eastAsia"/>
          <w:sz w:val="24"/>
        </w:rPr>
        <w:t>利用公司资源，为本人或他人牟利的，经查证属实，公司有权立即解除违纪员工的劳动合同，没有任何经济补偿；</w:t>
      </w:r>
    </w:p>
    <w:p w:rsidR="00C75D7B" w:rsidRDefault="007900C0">
      <w:pPr>
        <w:numPr>
          <w:ilvl w:val="0"/>
          <w:numId w:val="4"/>
        </w:numPr>
        <w:spacing w:line="360" w:lineRule="auto"/>
        <w:ind w:left="0" w:firstLineChars="200" w:firstLine="480"/>
        <w:rPr>
          <w:rFonts w:ascii="宋体" w:hAnsi="宋体"/>
          <w:sz w:val="24"/>
        </w:rPr>
      </w:pPr>
      <w:r>
        <w:rPr>
          <w:rFonts w:ascii="宋体" w:hAnsi="宋体" w:hint="eastAsia"/>
          <w:sz w:val="24"/>
        </w:rPr>
        <w:t>提交虚假报销申请，包括但不限于将一次业务活动的费用分拆成若干次报销，报销与公司和业务无关的费用等，经查证属实，公司有权立即解除违纪员工的劳动合同，没有任何经济补偿；</w:t>
      </w:r>
    </w:p>
    <w:p w:rsidR="00C75D7B" w:rsidRDefault="007900C0">
      <w:pPr>
        <w:numPr>
          <w:ilvl w:val="0"/>
          <w:numId w:val="4"/>
        </w:numPr>
        <w:spacing w:line="360" w:lineRule="auto"/>
        <w:ind w:left="0" w:firstLineChars="200" w:firstLine="480"/>
        <w:rPr>
          <w:rFonts w:ascii="宋体" w:hAnsi="宋体"/>
          <w:sz w:val="24"/>
        </w:rPr>
      </w:pPr>
      <w:r>
        <w:rPr>
          <w:rFonts w:ascii="宋体" w:hAnsi="宋体" w:hint="eastAsia"/>
          <w:sz w:val="24"/>
        </w:rPr>
        <w:t>涉嫌违法犯罪的交司法部门追究法律责任。。</w:t>
      </w:r>
    </w:p>
    <w:p w:rsidR="00C75D7B" w:rsidRDefault="007900C0">
      <w:pPr>
        <w:spacing w:line="360" w:lineRule="auto"/>
        <w:ind w:firstLineChars="200" w:firstLine="482"/>
        <w:rPr>
          <w:rFonts w:ascii="宋体" w:hAnsi="宋体"/>
          <w:sz w:val="24"/>
        </w:rPr>
      </w:pPr>
      <w:r>
        <w:rPr>
          <w:rFonts w:ascii="宋体" w:hAnsi="宋体" w:hint="eastAsia"/>
          <w:b/>
          <w:sz w:val="24"/>
        </w:rPr>
        <w:t>供应商管理：</w:t>
      </w:r>
      <w:r>
        <w:rPr>
          <w:rFonts w:ascii="宋体" w:hAnsi="宋体" w:hint="eastAsia"/>
          <w:sz w:val="24"/>
        </w:rPr>
        <w:t>公司在与供应商签订格式条款采购合同时，本着公平公正的原则，充分保障供应商和公司的合理利益。公司建立了严格的供应商评价制度，对新供应商的资质、诚信记录、质量等进行严格的审查。每年对所有供应商的诚信情况进行评估，对出现诚信问题的供应商予以淘汰或处罚。</w:t>
      </w:r>
    </w:p>
    <w:p w:rsidR="00C75D7B" w:rsidRDefault="007900C0">
      <w:pPr>
        <w:spacing w:line="360" w:lineRule="auto"/>
        <w:ind w:firstLineChars="200" w:firstLine="482"/>
        <w:rPr>
          <w:rFonts w:ascii="宋体" w:hAnsi="宋体"/>
          <w:sz w:val="24"/>
        </w:rPr>
      </w:pPr>
      <w:r>
        <w:rPr>
          <w:rFonts w:ascii="宋体" w:hAnsi="宋体" w:hint="eastAsia"/>
          <w:b/>
          <w:sz w:val="24"/>
        </w:rPr>
        <w:t>客户合同管理：</w:t>
      </w:r>
      <w:r>
        <w:rPr>
          <w:rFonts w:ascii="宋体" w:hAnsi="宋体" w:hint="eastAsia"/>
          <w:sz w:val="24"/>
        </w:rPr>
        <w:t>公司对客户以诚信、公平、守法为原则，制订并认真执行《采购合同流程》，对涉及的商务、技术等相关条款由相关部门进行相应的技术和商务评审，并由对口分管领导签批，确保公司和客户的利益不受损害。</w:t>
      </w:r>
    </w:p>
    <w:p w:rsidR="00C75D7B" w:rsidRDefault="007900C0">
      <w:pPr>
        <w:spacing w:line="360" w:lineRule="auto"/>
        <w:ind w:firstLineChars="200" w:firstLine="482"/>
        <w:rPr>
          <w:rFonts w:ascii="宋体" w:hAnsi="宋体"/>
          <w:b/>
          <w:sz w:val="24"/>
        </w:rPr>
      </w:pPr>
      <w:r>
        <w:rPr>
          <w:rFonts w:ascii="宋体" w:hAnsi="宋体" w:hint="eastAsia"/>
          <w:b/>
          <w:sz w:val="24"/>
        </w:rPr>
        <w:t>(2)道德规范的监测</w:t>
      </w:r>
    </w:p>
    <w:p w:rsidR="00C75D7B" w:rsidRDefault="007900C0">
      <w:pPr>
        <w:spacing w:line="360" w:lineRule="auto"/>
        <w:ind w:firstLineChars="200" w:firstLine="480"/>
        <w:rPr>
          <w:rFonts w:ascii="宋体" w:hAnsi="宋体"/>
          <w:sz w:val="24"/>
        </w:rPr>
      </w:pPr>
      <w:r>
        <w:rPr>
          <w:rFonts w:ascii="宋体" w:hAnsi="宋体" w:hint="eastAsia"/>
          <w:sz w:val="24"/>
        </w:rPr>
        <w:t>企业日常运营中的道德行为主要表现为：企业内部对投资方、领导及员工负责；在企业间对供应商及合作伙伴负责；企业外部对客户、政府和社会负责。公司的道德行为融入了公司运营的每个环节，最终凝聚为公司的企业文化。</w:t>
      </w:r>
    </w:p>
    <w:p w:rsidR="00C75D7B" w:rsidRDefault="007900C0">
      <w:pPr>
        <w:spacing w:line="360" w:lineRule="auto"/>
        <w:ind w:firstLineChars="200" w:firstLine="480"/>
        <w:rPr>
          <w:rFonts w:ascii="宋体" w:hAnsi="宋体"/>
          <w:sz w:val="24"/>
        </w:rPr>
      </w:pPr>
      <w:r>
        <w:rPr>
          <w:rFonts w:ascii="宋体" w:hAnsi="宋体" w:hint="eastAsia"/>
          <w:sz w:val="24"/>
        </w:rPr>
        <w:t>公司倡导诚信经营，在质量安全、节能环保、纳税等方面，严格遵守法律法规、行业标准以及客户要求等道德规范，主动接受员工、投资人、客户、社会各方的监督、监测，经得起时间与各方的考量。在过去的近10年里公司先后被评为高新技术企业、国家单项冠军企业、国家专精特新“小巨人”、江苏省瞪羚企</w:t>
      </w:r>
      <w:r>
        <w:rPr>
          <w:rFonts w:ascii="宋体" w:hAnsi="宋体" w:hint="eastAsia"/>
          <w:sz w:val="24"/>
        </w:rPr>
        <w:lastRenderedPageBreak/>
        <w:t>业、江苏省甲酸甲酯工程技术研究中心等荣誉称号，见图1.4-2。</w:t>
      </w:r>
    </w:p>
    <w:p w:rsidR="00C75D7B" w:rsidRDefault="007900C0">
      <w:pPr>
        <w:spacing w:line="360" w:lineRule="auto"/>
        <w:jc w:val="center"/>
        <w:rPr>
          <w:rFonts w:ascii="宋体" w:hAnsi="宋体"/>
          <w:szCs w:val="21"/>
        </w:rPr>
      </w:pPr>
      <w:r>
        <w:rPr>
          <w:rFonts w:ascii="宋体" w:hAnsi="宋体"/>
          <w:noProof/>
          <w:sz w:val="24"/>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2447925" cy="353060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7925" cy="3530661"/>
                    </a:xfrm>
                    <a:prstGeom prst="rect">
                      <a:avLst/>
                    </a:prstGeom>
                  </pic:spPr>
                </pic:pic>
              </a:graphicData>
            </a:graphic>
          </wp:anchor>
        </w:drawing>
      </w:r>
    </w:p>
    <w:p w:rsidR="00C75D7B" w:rsidRDefault="007900C0">
      <w:pPr>
        <w:spacing w:line="360" w:lineRule="auto"/>
        <w:rPr>
          <w:rFonts w:ascii="宋体" w:hAnsi="宋体"/>
          <w:szCs w:val="21"/>
        </w:rPr>
      </w:pPr>
      <w:r>
        <w:rPr>
          <w:rFonts w:ascii="宋体" w:hAnsi="宋体"/>
          <w:szCs w:val="21"/>
        </w:rPr>
        <w:tab/>
      </w:r>
      <w:r>
        <w:rPr>
          <w:rFonts w:ascii="宋体" w:hAnsi="宋体"/>
          <w:noProof/>
          <w:sz w:val="24"/>
        </w:rPr>
        <w:drawing>
          <wp:inline distT="0" distB="0" distL="0" distR="0">
            <wp:extent cx="3432810" cy="23336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35678" cy="2335158"/>
                    </a:xfrm>
                    <a:prstGeom prst="rect">
                      <a:avLst/>
                    </a:prstGeom>
                  </pic:spPr>
                </pic:pic>
              </a:graphicData>
            </a:graphic>
          </wp:inline>
        </w:drawing>
      </w:r>
    </w:p>
    <w:p w:rsidR="00C75D7B" w:rsidRDefault="00C75D7B">
      <w:pPr>
        <w:spacing w:line="360" w:lineRule="auto"/>
        <w:rPr>
          <w:rFonts w:ascii="宋体" w:hAnsi="宋体"/>
          <w:szCs w:val="21"/>
        </w:rPr>
      </w:pPr>
    </w:p>
    <w:p w:rsidR="00C75D7B" w:rsidRDefault="00C75D7B">
      <w:pPr>
        <w:spacing w:line="360" w:lineRule="auto"/>
        <w:rPr>
          <w:rFonts w:ascii="宋体" w:hAnsi="宋体"/>
          <w:szCs w:val="21"/>
        </w:rPr>
      </w:pPr>
    </w:p>
    <w:p w:rsidR="00C75D7B" w:rsidRDefault="00C75D7B">
      <w:pPr>
        <w:spacing w:line="360" w:lineRule="auto"/>
        <w:rPr>
          <w:rFonts w:ascii="宋体" w:hAnsi="宋体"/>
          <w:szCs w:val="21"/>
        </w:rPr>
      </w:pPr>
    </w:p>
    <w:p w:rsidR="00C75D7B" w:rsidRDefault="007900C0">
      <w:pPr>
        <w:spacing w:line="360" w:lineRule="auto"/>
        <w:rPr>
          <w:rFonts w:ascii="宋体" w:hAnsi="宋体"/>
          <w:szCs w:val="21"/>
        </w:rPr>
      </w:pPr>
      <w:r>
        <w:rPr>
          <w:rFonts w:ascii="宋体" w:hAnsi="宋体"/>
          <w:noProof/>
          <w:sz w:val="24"/>
        </w:rPr>
        <w:drawing>
          <wp:anchor distT="0" distB="0" distL="114300" distR="114300" simplePos="0" relativeHeight="251662336" behindDoc="0" locked="0" layoutInCell="1" allowOverlap="1">
            <wp:simplePos x="0" y="0"/>
            <wp:positionH relativeFrom="column">
              <wp:posOffset>3057525</wp:posOffset>
            </wp:positionH>
            <wp:positionV relativeFrom="paragraph">
              <wp:posOffset>201295</wp:posOffset>
            </wp:positionV>
            <wp:extent cx="2714625" cy="3838575"/>
            <wp:effectExtent l="0" t="0" r="0"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4625" cy="3838575"/>
                    </a:xfrm>
                    <a:prstGeom prst="rect">
                      <a:avLst/>
                    </a:prstGeom>
                  </pic:spPr>
                </pic:pic>
              </a:graphicData>
            </a:graphic>
          </wp:anchor>
        </w:drawing>
      </w:r>
      <w:r>
        <w:rPr>
          <w:rFonts w:ascii="宋体" w:hAnsi="宋体"/>
          <w:noProof/>
          <w:sz w:val="24"/>
        </w:rPr>
        <w:drawing>
          <wp:inline distT="0" distB="0" distL="0" distR="0">
            <wp:extent cx="2838450" cy="401193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6682" cy="4024008"/>
                    </a:xfrm>
                    <a:prstGeom prst="rect">
                      <a:avLst/>
                    </a:prstGeom>
                  </pic:spPr>
                </pic:pic>
              </a:graphicData>
            </a:graphic>
          </wp:inline>
        </w:drawing>
      </w:r>
    </w:p>
    <w:p w:rsidR="00C75D7B" w:rsidRDefault="00C75D7B">
      <w:pPr>
        <w:spacing w:line="360" w:lineRule="auto"/>
        <w:jc w:val="center"/>
        <w:rPr>
          <w:rFonts w:ascii="宋体" w:hAnsi="宋体"/>
          <w:szCs w:val="21"/>
        </w:rPr>
      </w:pPr>
    </w:p>
    <w:p w:rsidR="00C75D7B" w:rsidRDefault="00C75D7B">
      <w:pPr>
        <w:spacing w:line="360" w:lineRule="auto"/>
        <w:jc w:val="center"/>
        <w:rPr>
          <w:rFonts w:ascii="宋体" w:hAnsi="宋体"/>
          <w:szCs w:val="21"/>
        </w:rPr>
      </w:pPr>
    </w:p>
    <w:p w:rsidR="00C75D7B" w:rsidRDefault="007900C0">
      <w:pPr>
        <w:spacing w:line="360" w:lineRule="auto"/>
        <w:rPr>
          <w:rFonts w:ascii="宋体" w:hAnsi="宋体"/>
          <w:szCs w:val="21"/>
        </w:rPr>
      </w:pPr>
      <w:r>
        <w:rPr>
          <w:rFonts w:ascii="宋体" w:hAnsi="宋体"/>
          <w:noProof/>
          <w:sz w:val="24"/>
        </w:rPr>
        <w:lastRenderedPageBreak/>
        <w:drawing>
          <wp:anchor distT="0" distB="0" distL="114300" distR="114300" simplePos="0" relativeHeight="251659264" behindDoc="0" locked="0" layoutInCell="1" allowOverlap="1">
            <wp:simplePos x="0" y="0"/>
            <wp:positionH relativeFrom="column">
              <wp:posOffset>3114675</wp:posOffset>
            </wp:positionH>
            <wp:positionV relativeFrom="paragraph">
              <wp:posOffset>57150</wp:posOffset>
            </wp:positionV>
            <wp:extent cx="2686050" cy="1824990"/>
            <wp:effectExtent l="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86050" cy="1824990"/>
                    </a:xfrm>
                    <a:prstGeom prst="rect">
                      <a:avLst/>
                    </a:prstGeom>
                  </pic:spPr>
                </pic:pic>
              </a:graphicData>
            </a:graphic>
          </wp:anchor>
        </w:drawing>
      </w:r>
      <w:r>
        <w:rPr>
          <w:rFonts w:ascii="宋体" w:hAnsi="宋体"/>
          <w:noProof/>
          <w:sz w:val="24"/>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2707640" cy="1895475"/>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7640" cy="1895475"/>
                    </a:xfrm>
                    <a:prstGeom prst="rect">
                      <a:avLst/>
                    </a:prstGeom>
                  </pic:spPr>
                </pic:pic>
              </a:graphicData>
            </a:graphic>
          </wp:anchor>
        </w:drawing>
      </w:r>
      <w:r>
        <w:rPr>
          <w:rFonts w:ascii="宋体" w:hAnsi="宋体"/>
          <w:szCs w:val="21"/>
        </w:rPr>
        <w:br w:type="textWrapping" w:clear="all"/>
      </w:r>
    </w:p>
    <w:p w:rsidR="00C75D7B" w:rsidRDefault="007900C0">
      <w:pPr>
        <w:spacing w:line="360" w:lineRule="auto"/>
        <w:jc w:val="center"/>
        <w:rPr>
          <w:rFonts w:ascii="宋体" w:hAnsi="宋体"/>
          <w:szCs w:val="21"/>
        </w:rPr>
      </w:pPr>
      <w:r>
        <w:rPr>
          <w:rFonts w:ascii="宋体" w:hAnsi="宋体" w:hint="eastAsia"/>
          <w:szCs w:val="21"/>
        </w:rPr>
        <w:t>图1.4-2荣誉证书</w:t>
      </w:r>
    </w:p>
    <w:p w:rsidR="00C75D7B" w:rsidRDefault="00C75D7B">
      <w:pPr>
        <w:spacing w:line="360" w:lineRule="auto"/>
        <w:rPr>
          <w:rFonts w:ascii="宋体" w:hAnsi="宋体"/>
          <w:b/>
          <w:szCs w:val="21"/>
        </w:rPr>
      </w:pPr>
    </w:p>
    <w:p w:rsidR="00C75D7B" w:rsidRDefault="007900C0">
      <w:pPr>
        <w:spacing w:line="360" w:lineRule="auto"/>
        <w:outlineLvl w:val="1"/>
        <w:rPr>
          <w:rFonts w:ascii="宋体" w:hAnsi="宋体"/>
          <w:b/>
          <w:sz w:val="24"/>
        </w:rPr>
      </w:pPr>
      <w:bookmarkStart w:id="28" w:name="_Toc307"/>
      <w:r>
        <w:rPr>
          <w:rFonts w:ascii="宋体" w:hAnsi="宋体" w:hint="eastAsia"/>
          <w:b/>
          <w:sz w:val="24"/>
        </w:rPr>
        <w:t>3、自愿开展公益支持：</w:t>
      </w:r>
      <w:bookmarkEnd w:id="28"/>
    </w:p>
    <w:p w:rsidR="00C75D7B" w:rsidRDefault="007900C0">
      <w:pPr>
        <w:spacing w:line="360" w:lineRule="auto"/>
        <w:ind w:firstLineChars="200" w:firstLine="480"/>
        <w:rPr>
          <w:rFonts w:ascii="宋体" w:hAnsi="宋体"/>
          <w:sz w:val="24"/>
        </w:rPr>
      </w:pPr>
      <w:r>
        <w:rPr>
          <w:rFonts w:ascii="宋体" w:hAnsi="宋体" w:hint="eastAsia"/>
          <w:sz w:val="24"/>
        </w:rPr>
        <w:t>公益支持是组织超越法规和道德承诺之外的社会责任，是组织在资源条件许可的条件下，提升在社会责任方面的成熟度，是成为卓越企业的表现机会和途径。</w:t>
      </w:r>
    </w:p>
    <w:p w:rsidR="00C75D7B" w:rsidRDefault="007900C0">
      <w:pPr>
        <w:spacing w:line="360" w:lineRule="auto"/>
        <w:rPr>
          <w:rFonts w:ascii="宋体" w:hAnsi="宋体"/>
          <w:sz w:val="24"/>
        </w:rPr>
      </w:pPr>
      <w:r>
        <w:rPr>
          <w:rFonts w:ascii="宋体" w:hAnsi="宋体" w:hint="eastAsia"/>
          <w:sz w:val="24"/>
        </w:rPr>
        <w:t>公司在快速发展的同时，始终牢记回馈社会的责任，将爱心注入企业文化，用行动回馈社会。</w:t>
      </w:r>
    </w:p>
    <w:p w:rsidR="00C75D7B" w:rsidRDefault="00C75D7B">
      <w:pPr>
        <w:pStyle w:val="a8"/>
        <w:spacing w:line="360" w:lineRule="auto"/>
        <w:ind w:left="644" w:firstLineChars="0" w:firstLine="0"/>
        <w:rPr>
          <w:rFonts w:ascii="宋体" w:hAnsi="宋体" w:cs="宋体"/>
          <w:sz w:val="24"/>
        </w:rPr>
      </w:pPr>
    </w:p>
    <w:p w:rsidR="00C75D7B" w:rsidRDefault="00C75D7B">
      <w:pPr>
        <w:pStyle w:val="a8"/>
        <w:spacing w:line="360" w:lineRule="auto"/>
        <w:ind w:left="644" w:firstLineChars="0" w:firstLine="0"/>
        <w:rPr>
          <w:rFonts w:ascii="宋体" w:hAnsi="宋体" w:cs="宋体"/>
          <w:sz w:val="24"/>
        </w:rPr>
      </w:pPr>
    </w:p>
    <w:p w:rsidR="00C75D7B" w:rsidRDefault="00C75D7B">
      <w:pPr>
        <w:pStyle w:val="a8"/>
        <w:spacing w:line="360" w:lineRule="auto"/>
        <w:ind w:left="644" w:firstLineChars="0" w:firstLine="0"/>
        <w:rPr>
          <w:rFonts w:ascii="宋体" w:hAnsi="宋体" w:cs="宋体"/>
          <w:sz w:val="24"/>
        </w:rPr>
      </w:pPr>
    </w:p>
    <w:p w:rsidR="00C75D7B" w:rsidRDefault="007900C0">
      <w:pPr>
        <w:pStyle w:val="a8"/>
        <w:spacing w:line="360" w:lineRule="auto"/>
        <w:ind w:left="644" w:right="482" w:firstLineChars="0" w:firstLine="0"/>
        <w:jc w:val="right"/>
        <w:rPr>
          <w:rFonts w:ascii="宋体" w:hAnsi="宋体" w:cs="宋体"/>
          <w:b/>
          <w:sz w:val="24"/>
        </w:rPr>
      </w:pPr>
      <w:r>
        <w:rPr>
          <w:rFonts w:ascii="宋体" w:hAnsi="宋体" w:cs="宋体" w:hint="eastAsia"/>
          <w:b/>
          <w:sz w:val="24"/>
        </w:rPr>
        <w:t>宿迁新亚科技有限公司</w:t>
      </w:r>
    </w:p>
    <w:p w:rsidR="00C75D7B" w:rsidRDefault="007900C0">
      <w:pPr>
        <w:pStyle w:val="a8"/>
        <w:spacing w:line="360" w:lineRule="auto"/>
        <w:ind w:left="644" w:right="723" w:firstLineChars="0" w:firstLine="0"/>
        <w:jc w:val="right"/>
        <w:rPr>
          <w:rFonts w:ascii="宋体" w:hAnsi="宋体"/>
          <w:sz w:val="24"/>
        </w:rPr>
      </w:pPr>
      <w:r>
        <w:rPr>
          <w:rFonts w:ascii="宋体" w:hAnsi="宋体" w:cs="宋体" w:hint="eastAsia"/>
          <w:b/>
          <w:sz w:val="24"/>
        </w:rPr>
        <w:t>20</w:t>
      </w:r>
      <w:r>
        <w:rPr>
          <w:rFonts w:ascii="宋体" w:hAnsi="宋体" w:cs="宋体"/>
          <w:b/>
          <w:sz w:val="24"/>
        </w:rPr>
        <w:t>2</w:t>
      </w:r>
      <w:r>
        <w:rPr>
          <w:rFonts w:ascii="宋体" w:hAnsi="宋体" w:cs="宋体" w:hint="eastAsia"/>
          <w:b/>
          <w:sz w:val="24"/>
        </w:rPr>
        <w:t>5年1月12日</w:t>
      </w:r>
    </w:p>
    <w:p w:rsidR="00C75D7B" w:rsidRDefault="00C75D7B"/>
    <w:p w:rsidR="00C75D7B" w:rsidRDefault="00C75D7B"/>
    <w:p w:rsidR="00C75D7B" w:rsidRDefault="007900C0">
      <w:pPr>
        <w:tabs>
          <w:tab w:val="left" w:pos="3121"/>
        </w:tabs>
        <w:jc w:val="left"/>
      </w:pPr>
      <w:r>
        <w:rPr>
          <w:rFonts w:hint="eastAsia"/>
        </w:rPr>
        <w:tab/>
      </w:r>
    </w:p>
    <w:sectPr w:rsidR="00C75D7B">
      <w:footerReference w:type="default" r:id="rId19"/>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70DD" w:rsidRDefault="00C770DD">
      <w:r>
        <w:separator/>
      </w:r>
    </w:p>
  </w:endnote>
  <w:endnote w:type="continuationSeparator" w:id="0">
    <w:p w:rsidR="00C770DD" w:rsidRDefault="00C77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D7B" w:rsidRDefault="00C770DD">
    <w:pPr>
      <w:pStyle w:val="a4"/>
    </w:pPr>
    <w:r>
      <w:pict>
        <v:shapetype id="_x0000_t202" coordsize="21600,21600" o:spt="202" path="m,l,21600r21600,l21600,xe">
          <v:stroke joinstyle="miter"/>
          <v:path gradientshapeok="t" o:connecttype="rect"/>
        </v:shapetype>
        <v:shape id="_x0000_s3073" type="#_x0000_t202" style="position:absolute;margin-left:0;margin-top:0;width:2in;height:2in;z-index:251660288;mso-wrap-style:none;mso-position-horizontal:center;mso-position-horizontal-relative:margin;mso-width-relative:page;mso-height-relative:page" filled="f" stroked="f">
          <v:textbox style="mso-fit-shape-to-text:t" inset="0,0,0,0">
            <w:txbxContent>
              <w:p w:rsidR="00C75D7B" w:rsidRDefault="007900C0">
                <w:pPr>
                  <w:pStyle w:val="a4"/>
                </w:pPr>
                <w:r>
                  <w:fldChar w:fldCharType="begin"/>
                </w:r>
                <w:r>
                  <w:instrText xml:space="preserve"> PAGE  \* MERGEFORMAT </w:instrText>
                </w:r>
                <w:r>
                  <w:fldChar w:fldCharType="separate"/>
                </w:r>
                <w:r w:rsidR="00B0193D">
                  <w:rPr>
                    <w:noProof/>
                  </w:rPr>
                  <w:t>2</w:t>
                </w:r>
                <w: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70DD" w:rsidRDefault="00C770DD">
      <w:r>
        <w:separator/>
      </w:r>
    </w:p>
  </w:footnote>
  <w:footnote w:type="continuationSeparator" w:id="0">
    <w:p w:rsidR="00C770DD" w:rsidRDefault="00C770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D7B" w:rsidRDefault="007900C0">
    <w:pPr>
      <w:pBdr>
        <w:bottom w:val="single" w:sz="6" w:space="1" w:color="auto"/>
      </w:pBdr>
      <w:tabs>
        <w:tab w:val="center" w:pos="4153"/>
        <w:tab w:val="right" w:pos="8306"/>
      </w:tabs>
      <w:snapToGrid w:val="0"/>
      <w:jc w:val="center"/>
      <w:rPr>
        <w:rFonts w:ascii="宋体" w:hAnsi="宋体" w:cs="黑体"/>
        <w:sz w:val="18"/>
        <w:szCs w:val="18"/>
      </w:rPr>
    </w:pPr>
    <w:r>
      <w:rPr>
        <w:rFonts w:ascii="宋体" w:hAnsi="宋体" w:cs="黑体" w:hint="eastAsia"/>
        <w:color w:val="000000"/>
        <w:kern w:val="0"/>
        <w:sz w:val="20"/>
      </w:rPr>
      <w:t>宿迁新亚科技有限公司</w:t>
    </w:r>
  </w:p>
  <w:p w:rsidR="00C75D7B" w:rsidRDefault="00C75D7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E8C3389"/>
    <w:multiLevelType w:val="singleLevel"/>
    <w:tmpl w:val="DE8C3389"/>
    <w:lvl w:ilvl="0">
      <w:start w:val="3"/>
      <w:numFmt w:val="chineseCounting"/>
      <w:suff w:val="nothing"/>
      <w:lvlText w:val="%1、"/>
      <w:lvlJc w:val="left"/>
      <w:rPr>
        <w:rFonts w:hint="eastAsia"/>
      </w:rPr>
    </w:lvl>
  </w:abstractNum>
  <w:abstractNum w:abstractNumId="1">
    <w:nsid w:val="0C890716"/>
    <w:multiLevelType w:val="multilevel"/>
    <w:tmpl w:val="18D2774C"/>
    <w:lvl w:ilvl="0">
      <w:start w:val="2"/>
      <w:numFmt w:val="chineseCounting"/>
      <w:suff w:val="nothing"/>
      <w:lvlText w:val="%1、"/>
      <w:lvlJc w:val="left"/>
      <w:pPr>
        <w:ind w:left="0" w:firstLine="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7C62D07"/>
    <w:multiLevelType w:val="multilevel"/>
    <w:tmpl w:val="17C62D07"/>
    <w:lvl w:ilvl="0">
      <w:start w:val="2"/>
      <w:numFmt w:val="decimal"/>
      <w:lvlText w:val="%1、"/>
      <w:lvlJc w:val="left"/>
      <w:pPr>
        <w:ind w:left="504" w:hanging="504"/>
      </w:pPr>
      <w:rPr>
        <w:rFonts w:ascii="Times New Roman" w:hAnsi="Times New Roman" w:hint="default"/>
        <w:b/>
        <w:sz w:val="3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2C382792"/>
    <w:multiLevelType w:val="multilevel"/>
    <w:tmpl w:val="930828D6"/>
    <w:lvl w:ilvl="0">
      <w:start w:val="2"/>
      <w:numFmt w:val="chineseCounting"/>
      <w:suff w:val="nothing"/>
      <w:lvlText w:val="%1、"/>
      <w:lvlJc w:val="left"/>
      <w:pPr>
        <w:ind w:left="0" w:firstLine="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3601806"/>
    <w:multiLevelType w:val="multilevel"/>
    <w:tmpl w:val="33601806"/>
    <w:lvl w:ilvl="0">
      <w:start w:val="1"/>
      <w:numFmt w:val="bullet"/>
      <w:lvlText w:val=""/>
      <w:lvlJc w:val="left"/>
      <w:pPr>
        <w:ind w:left="766" w:hanging="420"/>
      </w:pPr>
      <w:rPr>
        <w:rFonts w:ascii="Wingdings" w:hAnsi="Wingdings" w:hint="default"/>
      </w:rPr>
    </w:lvl>
    <w:lvl w:ilvl="1">
      <w:start w:val="1"/>
      <w:numFmt w:val="bullet"/>
      <w:lvlText w:val=""/>
      <w:lvlJc w:val="left"/>
      <w:pPr>
        <w:ind w:left="1186" w:hanging="420"/>
      </w:pPr>
      <w:rPr>
        <w:rFonts w:ascii="Wingdings" w:hAnsi="Wingdings" w:hint="default"/>
      </w:rPr>
    </w:lvl>
    <w:lvl w:ilvl="2">
      <w:start w:val="1"/>
      <w:numFmt w:val="bullet"/>
      <w:lvlText w:val=""/>
      <w:lvlJc w:val="left"/>
      <w:pPr>
        <w:ind w:left="1606" w:hanging="420"/>
      </w:pPr>
      <w:rPr>
        <w:rFonts w:ascii="Wingdings" w:hAnsi="Wingdings" w:hint="default"/>
      </w:rPr>
    </w:lvl>
    <w:lvl w:ilvl="3">
      <w:start w:val="1"/>
      <w:numFmt w:val="bullet"/>
      <w:lvlText w:val=""/>
      <w:lvlJc w:val="left"/>
      <w:pPr>
        <w:ind w:left="2026" w:hanging="420"/>
      </w:pPr>
      <w:rPr>
        <w:rFonts w:ascii="Wingdings" w:hAnsi="Wingdings" w:hint="default"/>
      </w:rPr>
    </w:lvl>
    <w:lvl w:ilvl="4">
      <w:start w:val="1"/>
      <w:numFmt w:val="bullet"/>
      <w:lvlText w:val=""/>
      <w:lvlJc w:val="left"/>
      <w:pPr>
        <w:ind w:left="2446" w:hanging="420"/>
      </w:pPr>
      <w:rPr>
        <w:rFonts w:ascii="Wingdings" w:hAnsi="Wingdings" w:hint="default"/>
      </w:rPr>
    </w:lvl>
    <w:lvl w:ilvl="5">
      <w:start w:val="1"/>
      <w:numFmt w:val="bullet"/>
      <w:lvlText w:val=""/>
      <w:lvlJc w:val="left"/>
      <w:pPr>
        <w:ind w:left="2866" w:hanging="420"/>
      </w:pPr>
      <w:rPr>
        <w:rFonts w:ascii="Wingdings" w:hAnsi="Wingdings" w:hint="default"/>
      </w:rPr>
    </w:lvl>
    <w:lvl w:ilvl="6">
      <w:start w:val="1"/>
      <w:numFmt w:val="bullet"/>
      <w:lvlText w:val=""/>
      <w:lvlJc w:val="left"/>
      <w:pPr>
        <w:ind w:left="3286" w:hanging="420"/>
      </w:pPr>
      <w:rPr>
        <w:rFonts w:ascii="Wingdings" w:hAnsi="Wingdings" w:hint="default"/>
      </w:rPr>
    </w:lvl>
    <w:lvl w:ilvl="7">
      <w:start w:val="1"/>
      <w:numFmt w:val="bullet"/>
      <w:lvlText w:val=""/>
      <w:lvlJc w:val="left"/>
      <w:pPr>
        <w:ind w:left="3706" w:hanging="420"/>
      </w:pPr>
      <w:rPr>
        <w:rFonts w:ascii="Wingdings" w:hAnsi="Wingdings" w:hint="default"/>
      </w:rPr>
    </w:lvl>
    <w:lvl w:ilvl="8">
      <w:start w:val="1"/>
      <w:numFmt w:val="bullet"/>
      <w:lvlText w:val=""/>
      <w:lvlJc w:val="left"/>
      <w:pPr>
        <w:ind w:left="4126" w:hanging="420"/>
      </w:pPr>
      <w:rPr>
        <w:rFonts w:ascii="Wingdings" w:hAnsi="Wingdings" w:hint="default"/>
      </w:rPr>
    </w:lvl>
  </w:abstractNum>
  <w:abstractNum w:abstractNumId="5">
    <w:nsid w:val="3AAB3859"/>
    <w:multiLevelType w:val="singleLevel"/>
    <w:tmpl w:val="3AAB3859"/>
    <w:lvl w:ilvl="0">
      <w:start w:val="2"/>
      <w:numFmt w:val="chineseCounting"/>
      <w:suff w:val="nothing"/>
      <w:lvlText w:val="%1、"/>
      <w:lvlJc w:val="left"/>
      <w:rPr>
        <w:rFonts w:hint="eastAsia"/>
      </w:rPr>
    </w:lvl>
  </w:abstractNum>
  <w:num w:numId="1">
    <w:abstractNumId w:val="5"/>
  </w:num>
  <w:num w:numId="2">
    <w:abstractNumId w:val="0"/>
  </w:num>
  <w:num w:numId="3">
    <w:abstractNumId w:val="2"/>
  </w:num>
  <w:num w:numId="4">
    <w:abstractNumId w:val="4"/>
  </w:num>
  <w:num w:numId="5">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420"/>
  <w:drawingGridVerticalSpacing w:val="156"/>
  <w:noPunctuationKerning/>
  <w:characterSpacingControl w:val="compressPunctuation"/>
  <w:doNotValidateAgainstSchema/>
  <w:doNotDemarcateInvalidXml/>
  <w:hdrShapeDefaults>
    <o:shapedefaults v:ext="edit" spidmax="3074" fillcolor="white">
      <v:fill color="white"/>
    </o:shapedefaults>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TA2NjhmYzk4ODEyY2EzN2E0NGQ4MzgwMTgyNjhjZjMifQ=="/>
  </w:docVars>
  <w:rsids>
    <w:rsidRoot w:val="00172A27"/>
    <w:rsid w:val="000207F5"/>
    <w:rsid w:val="00035BFD"/>
    <w:rsid w:val="00035E93"/>
    <w:rsid w:val="00037858"/>
    <w:rsid w:val="00041287"/>
    <w:rsid w:val="00051CDC"/>
    <w:rsid w:val="00060124"/>
    <w:rsid w:val="000643BC"/>
    <w:rsid w:val="00064FFB"/>
    <w:rsid w:val="00067495"/>
    <w:rsid w:val="000959A1"/>
    <w:rsid w:val="000A7FB4"/>
    <w:rsid w:val="000D46F1"/>
    <w:rsid w:val="000D6735"/>
    <w:rsid w:val="000E01E1"/>
    <w:rsid w:val="000E35B6"/>
    <w:rsid w:val="001027B9"/>
    <w:rsid w:val="00103E43"/>
    <w:rsid w:val="00106EC2"/>
    <w:rsid w:val="00133062"/>
    <w:rsid w:val="00135608"/>
    <w:rsid w:val="00151A4B"/>
    <w:rsid w:val="00152516"/>
    <w:rsid w:val="00164F7D"/>
    <w:rsid w:val="00171932"/>
    <w:rsid w:val="00172A27"/>
    <w:rsid w:val="0018329C"/>
    <w:rsid w:val="0019082C"/>
    <w:rsid w:val="00191BA6"/>
    <w:rsid w:val="001A5033"/>
    <w:rsid w:val="001A5E8E"/>
    <w:rsid w:val="001A60C2"/>
    <w:rsid w:val="001B6DBB"/>
    <w:rsid w:val="001C5B5D"/>
    <w:rsid w:val="001C732E"/>
    <w:rsid w:val="001D3495"/>
    <w:rsid w:val="001E4418"/>
    <w:rsid w:val="001F446E"/>
    <w:rsid w:val="00200861"/>
    <w:rsid w:val="002028DE"/>
    <w:rsid w:val="002227DC"/>
    <w:rsid w:val="00225A05"/>
    <w:rsid w:val="00227494"/>
    <w:rsid w:val="002275C6"/>
    <w:rsid w:val="00232BD4"/>
    <w:rsid w:val="002531EF"/>
    <w:rsid w:val="00253CFE"/>
    <w:rsid w:val="00285497"/>
    <w:rsid w:val="002B1BD3"/>
    <w:rsid w:val="002C4449"/>
    <w:rsid w:val="002C6D14"/>
    <w:rsid w:val="002E342F"/>
    <w:rsid w:val="002F5220"/>
    <w:rsid w:val="00303067"/>
    <w:rsid w:val="00350615"/>
    <w:rsid w:val="00356169"/>
    <w:rsid w:val="003703F0"/>
    <w:rsid w:val="00384CB3"/>
    <w:rsid w:val="00390D69"/>
    <w:rsid w:val="0039385D"/>
    <w:rsid w:val="00394BCB"/>
    <w:rsid w:val="003A7DD9"/>
    <w:rsid w:val="003B74D4"/>
    <w:rsid w:val="003B7BE0"/>
    <w:rsid w:val="003C45CF"/>
    <w:rsid w:val="003D59A4"/>
    <w:rsid w:val="003E6359"/>
    <w:rsid w:val="00423419"/>
    <w:rsid w:val="00432516"/>
    <w:rsid w:val="00433423"/>
    <w:rsid w:val="00434B85"/>
    <w:rsid w:val="00461811"/>
    <w:rsid w:val="004765AD"/>
    <w:rsid w:val="00477D55"/>
    <w:rsid w:val="004943F1"/>
    <w:rsid w:val="004A6AB7"/>
    <w:rsid w:val="004B0BFD"/>
    <w:rsid w:val="004C38F6"/>
    <w:rsid w:val="004D29A4"/>
    <w:rsid w:val="004D62F8"/>
    <w:rsid w:val="004F1C22"/>
    <w:rsid w:val="005155E3"/>
    <w:rsid w:val="00516A7E"/>
    <w:rsid w:val="0052242F"/>
    <w:rsid w:val="00542CF0"/>
    <w:rsid w:val="00563799"/>
    <w:rsid w:val="00582869"/>
    <w:rsid w:val="005A541E"/>
    <w:rsid w:val="005A5A6B"/>
    <w:rsid w:val="005B458E"/>
    <w:rsid w:val="005B4887"/>
    <w:rsid w:val="005B5AFC"/>
    <w:rsid w:val="005C1391"/>
    <w:rsid w:val="006000FB"/>
    <w:rsid w:val="00602025"/>
    <w:rsid w:val="00613D7C"/>
    <w:rsid w:val="00613FDA"/>
    <w:rsid w:val="006171A3"/>
    <w:rsid w:val="0063000C"/>
    <w:rsid w:val="00634C26"/>
    <w:rsid w:val="00637A47"/>
    <w:rsid w:val="00652903"/>
    <w:rsid w:val="006544E6"/>
    <w:rsid w:val="00676594"/>
    <w:rsid w:val="006824C0"/>
    <w:rsid w:val="006856E1"/>
    <w:rsid w:val="00686118"/>
    <w:rsid w:val="006A2C76"/>
    <w:rsid w:val="006A40FC"/>
    <w:rsid w:val="006A4E28"/>
    <w:rsid w:val="006A6A51"/>
    <w:rsid w:val="006B250A"/>
    <w:rsid w:val="006B4018"/>
    <w:rsid w:val="006E11C6"/>
    <w:rsid w:val="006E369A"/>
    <w:rsid w:val="006F0CBD"/>
    <w:rsid w:val="006F3C49"/>
    <w:rsid w:val="00705EE5"/>
    <w:rsid w:val="00747662"/>
    <w:rsid w:val="00760DBE"/>
    <w:rsid w:val="00762C1E"/>
    <w:rsid w:val="00764912"/>
    <w:rsid w:val="007900C0"/>
    <w:rsid w:val="007933CB"/>
    <w:rsid w:val="007977C6"/>
    <w:rsid w:val="007A1209"/>
    <w:rsid w:val="007A1665"/>
    <w:rsid w:val="007A1FD7"/>
    <w:rsid w:val="007A43FE"/>
    <w:rsid w:val="007B33C3"/>
    <w:rsid w:val="007B43F3"/>
    <w:rsid w:val="007C1FAF"/>
    <w:rsid w:val="007C4447"/>
    <w:rsid w:val="007D5C8F"/>
    <w:rsid w:val="007F0DC3"/>
    <w:rsid w:val="008053AC"/>
    <w:rsid w:val="00807690"/>
    <w:rsid w:val="0081215C"/>
    <w:rsid w:val="0081623A"/>
    <w:rsid w:val="0081687F"/>
    <w:rsid w:val="008226FD"/>
    <w:rsid w:val="00837439"/>
    <w:rsid w:val="00843ED9"/>
    <w:rsid w:val="00857D02"/>
    <w:rsid w:val="00882FEB"/>
    <w:rsid w:val="008974D2"/>
    <w:rsid w:val="008A4711"/>
    <w:rsid w:val="008C46CD"/>
    <w:rsid w:val="008D7C14"/>
    <w:rsid w:val="008E79D0"/>
    <w:rsid w:val="008F14D1"/>
    <w:rsid w:val="008F314B"/>
    <w:rsid w:val="00912E1C"/>
    <w:rsid w:val="009163BA"/>
    <w:rsid w:val="00920C1E"/>
    <w:rsid w:val="00960FE9"/>
    <w:rsid w:val="00984CF9"/>
    <w:rsid w:val="00997340"/>
    <w:rsid w:val="009A03FE"/>
    <w:rsid w:val="009B5DB5"/>
    <w:rsid w:val="009D121A"/>
    <w:rsid w:val="009D6464"/>
    <w:rsid w:val="00A03AA4"/>
    <w:rsid w:val="00A04819"/>
    <w:rsid w:val="00A16E16"/>
    <w:rsid w:val="00A46A54"/>
    <w:rsid w:val="00A62DCD"/>
    <w:rsid w:val="00A674C2"/>
    <w:rsid w:val="00A73313"/>
    <w:rsid w:val="00A8087E"/>
    <w:rsid w:val="00A95833"/>
    <w:rsid w:val="00AA1FBB"/>
    <w:rsid w:val="00AC5242"/>
    <w:rsid w:val="00AD3B53"/>
    <w:rsid w:val="00AD49F1"/>
    <w:rsid w:val="00AE737D"/>
    <w:rsid w:val="00B0193D"/>
    <w:rsid w:val="00B22C73"/>
    <w:rsid w:val="00B23C46"/>
    <w:rsid w:val="00B57122"/>
    <w:rsid w:val="00B65F86"/>
    <w:rsid w:val="00B74DF4"/>
    <w:rsid w:val="00B75FEC"/>
    <w:rsid w:val="00BD51C4"/>
    <w:rsid w:val="00BD74CA"/>
    <w:rsid w:val="00C0023B"/>
    <w:rsid w:val="00C0219C"/>
    <w:rsid w:val="00C02AEB"/>
    <w:rsid w:val="00C22347"/>
    <w:rsid w:val="00C30843"/>
    <w:rsid w:val="00C3594D"/>
    <w:rsid w:val="00C41373"/>
    <w:rsid w:val="00C45FBD"/>
    <w:rsid w:val="00C46CBB"/>
    <w:rsid w:val="00C75D7B"/>
    <w:rsid w:val="00C770DD"/>
    <w:rsid w:val="00C84216"/>
    <w:rsid w:val="00C97A50"/>
    <w:rsid w:val="00CA316B"/>
    <w:rsid w:val="00CC3906"/>
    <w:rsid w:val="00CC46E4"/>
    <w:rsid w:val="00CE301A"/>
    <w:rsid w:val="00D000F4"/>
    <w:rsid w:val="00D43B6F"/>
    <w:rsid w:val="00D75496"/>
    <w:rsid w:val="00D80F1D"/>
    <w:rsid w:val="00D81325"/>
    <w:rsid w:val="00DB20A6"/>
    <w:rsid w:val="00DC427B"/>
    <w:rsid w:val="00DD3AEE"/>
    <w:rsid w:val="00DD497E"/>
    <w:rsid w:val="00DE2D8A"/>
    <w:rsid w:val="00DE7464"/>
    <w:rsid w:val="00DF6E30"/>
    <w:rsid w:val="00E174F3"/>
    <w:rsid w:val="00E178FB"/>
    <w:rsid w:val="00E27B4C"/>
    <w:rsid w:val="00E31C8D"/>
    <w:rsid w:val="00E32F3C"/>
    <w:rsid w:val="00E4638E"/>
    <w:rsid w:val="00E47FE4"/>
    <w:rsid w:val="00E506C7"/>
    <w:rsid w:val="00E52B8E"/>
    <w:rsid w:val="00E576E5"/>
    <w:rsid w:val="00E802DA"/>
    <w:rsid w:val="00E84013"/>
    <w:rsid w:val="00E918E4"/>
    <w:rsid w:val="00E964CE"/>
    <w:rsid w:val="00EA00DB"/>
    <w:rsid w:val="00EB2680"/>
    <w:rsid w:val="00EB60DB"/>
    <w:rsid w:val="00EC1554"/>
    <w:rsid w:val="00EE4699"/>
    <w:rsid w:val="00EF2AD6"/>
    <w:rsid w:val="00F036BF"/>
    <w:rsid w:val="00F06901"/>
    <w:rsid w:val="00F23E6E"/>
    <w:rsid w:val="00F240BA"/>
    <w:rsid w:val="00F36A52"/>
    <w:rsid w:val="00F375D0"/>
    <w:rsid w:val="00F441DF"/>
    <w:rsid w:val="00F45487"/>
    <w:rsid w:val="00F46EF5"/>
    <w:rsid w:val="00F46F4A"/>
    <w:rsid w:val="00F56BA4"/>
    <w:rsid w:val="00F65B57"/>
    <w:rsid w:val="00F91A3B"/>
    <w:rsid w:val="00FA27B5"/>
    <w:rsid w:val="00FA45C1"/>
    <w:rsid w:val="00FB50E6"/>
    <w:rsid w:val="00FB5994"/>
    <w:rsid w:val="00FE2EA2"/>
    <w:rsid w:val="00FF353E"/>
    <w:rsid w:val="00FF6E25"/>
    <w:rsid w:val="02386B8D"/>
    <w:rsid w:val="03157416"/>
    <w:rsid w:val="03675EC4"/>
    <w:rsid w:val="04814D63"/>
    <w:rsid w:val="05047743"/>
    <w:rsid w:val="050C7974"/>
    <w:rsid w:val="057523EE"/>
    <w:rsid w:val="05C44D42"/>
    <w:rsid w:val="05E815AD"/>
    <w:rsid w:val="07D96C64"/>
    <w:rsid w:val="0808754A"/>
    <w:rsid w:val="08730E67"/>
    <w:rsid w:val="08803584"/>
    <w:rsid w:val="08B66FA6"/>
    <w:rsid w:val="09FD73D0"/>
    <w:rsid w:val="0AA417AC"/>
    <w:rsid w:val="0ADD0EBF"/>
    <w:rsid w:val="0B297F03"/>
    <w:rsid w:val="0B61144B"/>
    <w:rsid w:val="0C405504"/>
    <w:rsid w:val="0C57284E"/>
    <w:rsid w:val="0CC779D3"/>
    <w:rsid w:val="0CEA3D9B"/>
    <w:rsid w:val="0D837D9E"/>
    <w:rsid w:val="0E1409F6"/>
    <w:rsid w:val="0E1E7AC7"/>
    <w:rsid w:val="0E5434E9"/>
    <w:rsid w:val="0E7019A5"/>
    <w:rsid w:val="0E8A2389"/>
    <w:rsid w:val="0EC964EC"/>
    <w:rsid w:val="0ED85EC8"/>
    <w:rsid w:val="0F1B4006"/>
    <w:rsid w:val="0F1B5DB5"/>
    <w:rsid w:val="0F577FDF"/>
    <w:rsid w:val="0FF30ADF"/>
    <w:rsid w:val="1057628E"/>
    <w:rsid w:val="10B90E94"/>
    <w:rsid w:val="10CD1330"/>
    <w:rsid w:val="127952CC"/>
    <w:rsid w:val="12940358"/>
    <w:rsid w:val="12E70F75"/>
    <w:rsid w:val="13026DC4"/>
    <w:rsid w:val="13A40BE6"/>
    <w:rsid w:val="14A229EF"/>
    <w:rsid w:val="14A81E98"/>
    <w:rsid w:val="15115C90"/>
    <w:rsid w:val="15811984"/>
    <w:rsid w:val="15E95805"/>
    <w:rsid w:val="160C28FB"/>
    <w:rsid w:val="161517B0"/>
    <w:rsid w:val="166F3404"/>
    <w:rsid w:val="168D3A3C"/>
    <w:rsid w:val="1699418F"/>
    <w:rsid w:val="16B20DAC"/>
    <w:rsid w:val="16B25250"/>
    <w:rsid w:val="16DB47A7"/>
    <w:rsid w:val="17332EE7"/>
    <w:rsid w:val="17485BB5"/>
    <w:rsid w:val="17C84600"/>
    <w:rsid w:val="17E21B65"/>
    <w:rsid w:val="1910625E"/>
    <w:rsid w:val="191C4C03"/>
    <w:rsid w:val="192A145F"/>
    <w:rsid w:val="19AC41D9"/>
    <w:rsid w:val="19ED01D8"/>
    <w:rsid w:val="1AB31597"/>
    <w:rsid w:val="1B475F35"/>
    <w:rsid w:val="1B852F33"/>
    <w:rsid w:val="1B9273FE"/>
    <w:rsid w:val="1C202C5C"/>
    <w:rsid w:val="1C8A6328"/>
    <w:rsid w:val="1C964CCC"/>
    <w:rsid w:val="1D9236E6"/>
    <w:rsid w:val="1E761259"/>
    <w:rsid w:val="1EAE27A1"/>
    <w:rsid w:val="1F264A2D"/>
    <w:rsid w:val="1FAB7D2F"/>
    <w:rsid w:val="1FC63B1B"/>
    <w:rsid w:val="202D5948"/>
    <w:rsid w:val="210963B5"/>
    <w:rsid w:val="2127683B"/>
    <w:rsid w:val="21823A71"/>
    <w:rsid w:val="22462AC1"/>
    <w:rsid w:val="22B10AB2"/>
    <w:rsid w:val="22D327D6"/>
    <w:rsid w:val="232079E6"/>
    <w:rsid w:val="23A128D5"/>
    <w:rsid w:val="240115C5"/>
    <w:rsid w:val="2421716B"/>
    <w:rsid w:val="246062EC"/>
    <w:rsid w:val="2500187D"/>
    <w:rsid w:val="259124D5"/>
    <w:rsid w:val="26D7660D"/>
    <w:rsid w:val="274912B9"/>
    <w:rsid w:val="2751016E"/>
    <w:rsid w:val="27C7272B"/>
    <w:rsid w:val="27F76F67"/>
    <w:rsid w:val="2826784C"/>
    <w:rsid w:val="28463A4A"/>
    <w:rsid w:val="288B5901"/>
    <w:rsid w:val="28E5785A"/>
    <w:rsid w:val="29F20027"/>
    <w:rsid w:val="2A5266D7"/>
    <w:rsid w:val="2A554419"/>
    <w:rsid w:val="2A9C5BA4"/>
    <w:rsid w:val="2B404781"/>
    <w:rsid w:val="2B577D1D"/>
    <w:rsid w:val="2BDF21EC"/>
    <w:rsid w:val="2C6B1CD2"/>
    <w:rsid w:val="2CE453B8"/>
    <w:rsid w:val="2CF25F4F"/>
    <w:rsid w:val="2D237F60"/>
    <w:rsid w:val="2D6B7AAF"/>
    <w:rsid w:val="2D856DC3"/>
    <w:rsid w:val="2DB31B82"/>
    <w:rsid w:val="2E020414"/>
    <w:rsid w:val="2E114AFB"/>
    <w:rsid w:val="2EB96AAA"/>
    <w:rsid w:val="2F126434"/>
    <w:rsid w:val="2F5E167A"/>
    <w:rsid w:val="2FB90FA6"/>
    <w:rsid w:val="306233EC"/>
    <w:rsid w:val="30986E0D"/>
    <w:rsid w:val="30D36097"/>
    <w:rsid w:val="317A4765"/>
    <w:rsid w:val="31815AF3"/>
    <w:rsid w:val="319516DC"/>
    <w:rsid w:val="31C14142"/>
    <w:rsid w:val="31CD2AE7"/>
    <w:rsid w:val="32456B21"/>
    <w:rsid w:val="32591540"/>
    <w:rsid w:val="327C3664"/>
    <w:rsid w:val="32ED68F0"/>
    <w:rsid w:val="335C2374"/>
    <w:rsid w:val="33833DA5"/>
    <w:rsid w:val="33A65CE5"/>
    <w:rsid w:val="33E23337"/>
    <w:rsid w:val="34F07218"/>
    <w:rsid w:val="35935DF5"/>
    <w:rsid w:val="360B38C6"/>
    <w:rsid w:val="36323860"/>
    <w:rsid w:val="36657792"/>
    <w:rsid w:val="368F2A60"/>
    <w:rsid w:val="36922505"/>
    <w:rsid w:val="37006914"/>
    <w:rsid w:val="370A20E7"/>
    <w:rsid w:val="372B09DB"/>
    <w:rsid w:val="37C31302"/>
    <w:rsid w:val="38983E4E"/>
    <w:rsid w:val="38DA6007"/>
    <w:rsid w:val="39161217"/>
    <w:rsid w:val="39402495"/>
    <w:rsid w:val="39B0341A"/>
    <w:rsid w:val="39B60304"/>
    <w:rsid w:val="3A543DA5"/>
    <w:rsid w:val="3B561D9F"/>
    <w:rsid w:val="3C3B116F"/>
    <w:rsid w:val="3C923E0D"/>
    <w:rsid w:val="3D0F0457"/>
    <w:rsid w:val="3E5675D8"/>
    <w:rsid w:val="3EFB5137"/>
    <w:rsid w:val="3F3423F7"/>
    <w:rsid w:val="3F8F587F"/>
    <w:rsid w:val="3FA806EC"/>
    <w:rsid w:val="3FDF2363"/>
    <w:rsid w:val="3FE50C46"/>
    <w:rsid w:val="403D352D"/>
    <w:rsid w:val="407A33BA"/>
    <w:rsid w:val="40F77B80"/>
    <w:rsid w:val="411E510D"/>
    <w:rsid w:val="4162149D"/>
    <w:rsid w:val="41B31CF9"/>
    <w:rsid w:val="41D67795"/>
    <w:rsid w:val="42F06635"/>
    <w:rsid w:val="438F5E4E"/>
    <w:rsid w:val="43FE2FD4"/>
    <w:rsid w:val="455D41F1"/>
    <w:rsid w:val="45CF4C28"/>
    <w:rsid w:val="462F3918"/>
    <w:rsid w:val="4669507C"/>
    <w:rsid w:val="46B03082"/>
    <w:rsid w:val="47022DDB"/>
    <w:rsid w:val="4752390A"/>
    <w:rsid w:val="479B1265"/>
    <w:rsid w:val="47CD33E9"/>
    <w:rsid w:val="4A4D0811"/>
    <w:rsid w:val="4A9B5439"/>
    <w:rsid w:val="4AF173EE"/>
    <w:rsid w:val="4D820D1D"/>
    <w:rsid w:val="4E0955AB"/>
    <w:rsid w:val="4EA8070C"/>
    <w:rsid w:val="4EB66985"/>
    <w:rsid w:val="4F1638C7"/>
    <w:rsid w:val="4FA72771"/>
    <w:rsid w:val="4FD71314"/>
    <w:rsid w:val="50E848F3"/>
    <w:rsid w:val="51200A2D"/>
    <w:rsid w:val="51397F60"/>
    <w:rsid w:val="52E241BD"/>
    <w:rsid w:val="53370E01"/>
    <w:rsid w:val="535A6478"/>
    <w:rsid w:val="54251D09"/>
    <w:rsid w:val="54BC281B"/>
    <w:rsid w:val="555148AC"/>
    <w:rsid w:val="55517407"/>
    <w:rsid w:val="5563538C"/>
    <w:rsid w:val="558F6181"/>
    <w:rsid w:val="56725887"/>
    <w:rsid w:val="567C04B4"/>
    <w:rsid w:val="575431DF"/>
    <w:rsid w:val="57F8000E"/>
    <w:rsid w:val="586B07E0"/>
    <w:rsid w:val="59274A59"/>
    <w:rsid w:val="5A93401E"/>
    <w:rsid w:val="5AF75692"/>
    <w:rsid w:val="5B0C37B7"/>
    <w:rsid w:val="5B3752F1"/>
    <w:rsid w:val="5BA87F9D"/>
    <w:rsid w:val="5CD050B5"/>
    <w:rsid w:val="5D0336DD"/>
    <w:rsid w:val="5E1B6804"/>
    <w:rsid w:val="5E2A2EEB"/>
    <w:rsid w:val="5E40270F"/>
    <w:rsid w:val="5E4965B3"/>
    <w:rsid w:val="5EA52572"/>
    <w:rsid w:val="5ED13367"/>
    <w:rsid w:val="5F661D01"/>
    <w:rsid w:val="5FEF1CF6"/>
    <w:rsid w:val="613A3445"/>
    <w:rsid w:val="61B9080E"/>
    <w:rsid w:val="61BC3E5A"/>
    <w:rsid w:val="626F5370"/>
    <w:rsid w:val="63AA5E92"/>
    <w:rsid w:val="65AB4911"/>
    <w:rsid w:val="65EE2A50"/>
    <w:rsid w:val="66E55C01"/>
    <w:rsid w:val="67087B42"/>
    <w:rsid w:val="67F7525A"/>
    <w:rsid w:val="689C6793"/>
    <w:rsid w:val="69421884"/>
    <w:rsid w:val="696F3EA8"/>
    <w:rsid w:val="69E23FCE"/>
    <w:rsid w:val="6A3F7D1E"/>
    <w:rsid w:val="6A845731"/>
    <w:rsid w:val="6ACB7804"/>
    <w:rsid w:val="6B0F76F1"/>
    <w:rsid w:val="6B225676"/>
    <w:rsid w:val="6C294B7B"/>
    <w:rsid w:val="6C8163CC"/>
    <w:rsid w:val="6CD02EB0"/>
    <w:rsid w:val="6D4F0278"/>
    <w:rsid w:val="6D5E43D1"/>
    <w:rsid w:val="6DD24A05"/>
    <w:rsid w:val="6E35746E"/>
    <w:rsid w:val="6EC16F54"/>
    <w:rsid w:val="6F215C44"/>
    <w:rsid w:val="6F35349E"/>
    <w:rsid w:val="6F394D3C"/>
    <w:rsid w:val="6FED574B"/>
    <w:rsid w:val="701557A9"/>
    <w:rsid w:val="704C0A9F"/>
    <w:rsid w:val="709F5073"/>
    <w:rsid w:val="70C60851"/>
    <w:rsid w:val="70F27898"/>
    <w:rsid w:val="71123A97"/>
    <w:rsid w:val="72C443A4"/>
    <w:rsid w:val="73CD120E"/>
    <w:rsid w:val="74177616"/>
    <w:rsid w:val="75385A96"/>
    <w:rsid w:val="756E770A"/>
    <w:rsid w:val="75C537CD"/>
    <w:rsid w:val="75D51537"/>
    <w:rsid w:val="76197675"/>
    <w:rsid w:val="76A41635"/>
    <w:rsid w:val="76E9529A"/>
    <w:rsid w:val="76F31C74"/>
    <w:rsid w:val="772207AC"/>
    <w:rsid w:val="78300CA6"/>
    <w:rsid w:val="786D3CA8"/>
    <w:rsid w:val="79352A18"/>
    <w:rsid w:val="79B97E53"/>
    <w:rsid w:val="7A3A405E"/>
    <w:rsid w:val="7C1C1D49"/>
    <w:rsid w:val="7D1110A6"/>
    <w:rsid w:val="7D140B97"/>
    <w:rsid w:val="7D3905FD"/>
    <w:rsid w:val="7D9373AE"/>
    <w:rsid w:val="7DAB2A60"/>
    <w:rsid w:val="7DC06436"/>
    <w:rsid w:val="7E3C65F7"/>
    <w:rsid w:val="7EF90044"/>
    <w:rsid w:val="7F967F8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0" w:unhideWhenUsed="0" w:qFormat="1"/>
    <w:lsdException w:name="toc 2" w:semiHidden="0" w:uiPriority="39" w:unhideWhenUsed="0" w:qFormat="1"/>
    <w:lsdException w:name="toc 3" w:semiHidden="0" w:uiPriority="39" w:unhideWhenUsed="0" w:qFormat="1"/>
    <w:lsdException w:name="toc 4" w:semiHidden="0" w:uiPriority="0" w:unhideWhenUsed="0" w:qFormat="1"/>
    <w:lsdException w:name="toc 5" w:semiHidden="0" w:uiPriority="0" w:unhideWhenUsed="0" w:qFormat="1"/>
    <w:lsdException w:name="toc 6" w:semiHidden="0" w:uiPriority="0" w:unhideWhenUsed="0" w:qFormat="1"/>
    <w:lsdException w:name="toc 7" w:semiHidden="0" w:uiPriority="0" w:unhideWhenUsed="0" w:qFormat="1"/>
    <w:lsdException w:name="toc 8" w:semiHidden="0" w:uiPriority="0" w:unhideWhenUsed="0" w:qFormat="1"/>
    <w:lsdException w:name="toc 9" w:semiHidden="0" w:uiPriority="0" w:unhideWhenUsed="0" w:qFormat="1"/>
    <w:lsdException w:name="header" w:semiHidden="0" w:uiPriority="0" w:unhideWhenUsed="0" w:qFormat="1"/>
    <w:lsdException w:name="footer" w:semiHidden="0" w:uiPriority="0" w:unhideWhenUsed="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Balloon Text" w:semiHidden="0"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link w:val="2Char"/>
    <w:uiPriority w:val="99"/>
    <w:qFormat/>
    <w:pPr>
      <w:keepNext/>
      <w:keepLines/>
      <w:spacing w:before="260" w:after="260" w:line="413" w:lineRule="auto"/>
      <w:outlineLvl w:val="1"/>
    </w:pPr>
    <w:rPr>
      <w:rFonts w:ascii="Arial" w:eastAsia="黑体" w:hAnsi="Arial"/>
      <w:b/>
      <w:sz w:val="32"/>
    </w:rPr>
  </w:style>
  <w:style w:type="paragraph" w:styleId="3">
    <w:name w:val="heading 3"/>
    <w:basedOn w:val="a"/>
    <w:next w:val="a"/>
    <w:link w:val="3Char"/>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5">
    <w:name w:val="toc 5"/>
    <w:basedOn w:val="a"/>
    <w:next w:val="a"/>
    <w:qFormat/>
    <w:pPr>
      <w:ind w:leftChars="800" w:left="1680"/>
    </w:pPr>
  </w:style>
  <w:style w:type="paragraph" w:styleId="30">
    <w:name w:val="toc 3"/>
    <w:basedOn w:val="a"/>
    <w:next w:val="a"/>
    <w:uiPriority w:val="39"/>
    <w:qFormat/>
    <w:pPr>
      <w:ind w:leftChars="400" w:left="840"/>
    </w:pPr>
  </w:style>
  <w:style w:type="paragraph" w:styleId="8">
    <w:name w:val="toc 8"/>
    <w:basedOn w:val="a"/>
    <w:next w:val="a"/>
    <w:qFormat/>
    <w:pPr>
      <w:ind w:leftChars="1400" w:left="2940"/>
    </w:pPr>
  </w:style>
  <w:style w:type="paragraph" w:styleId="a3">
    <w:name w:val="Balloon Text"/>
    <w:basedOn w:val="a"/>
    <w:link w:val="Char"/>
    <w:uiPriority w:val="99"/>
    <w:unhideWhenUsed/>
    <w:qFormat/>
    <w:rPr>
      <w:sz w:val="18"/>
      <w:szCs w:val="18"/>
    </w:r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rPr>
      <w:b/>
    </w:rPr>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uiPriority w:val="39"/>
    <w:qFormat/>
    <w:pPr>
      <w:ind w:leftChars="200" w:left="420"/>
    </w:pPr>
  </w:style>
  <w:style w:type="paragraph" w:styleId="9">
    <w:name w:val="toc 9"/>
    <w:basedOn w:val="a"/>
    <w:next w:val="a"/>
    <w:qFormat/>
    <w:pPr>
      <w:ind w:leftChars="1600" w:left="3360"/>
    </w:pPr>
  </w:style>
  <w:style w:type="table" w:styleId="a6">
    <w:name w:val="Table Grid"/>
    <w:basedOn w:val="a1"/>
    <w:uiPriority w:val="9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uiPriority w:val="99"/>
    <w:unhideWhenUsed/>
    <w:qFormat/>
    <w:rPr>
      <w:color w:val="0563C1"/>
      <w:u w:val="single"/>
    </w:rPr>
  </w:style>
  <w:style w:type="character" w:customStyle="1" w:styleId="3Char">
    <w:name w:val="标题 3 Char"/>
    <w:link w:val="3"/>
    <w:qFormat/>
    <w:rPr>
      <w:b/>
      <w:sz w:val="32"/>
    </w:rPr>
  </w:style>
  <w:style w:type="character" w:customStyle="1" w:styleId="Char">
    <w:name w:val="批注框文本 Char"/>
    <w:basedOn w:val="a0"/>
    <w:link w:val="a3"/>
    <w:uiPriority w:val="99"/>
    <w:semiHidden/>
    <w:qFormat/>
    <w:rPr>
      <w:kern w:val="2"/>
      <w:sz w:val="18"/>
      <w:szCs w:val="18"/>
    </w:rPr>
  </w:style>
  <w:style w:type="character" w:customStyle="1" w:styleId="2Char">
    <w:name w:val="标题 2 Char"/>
    <w:basedOn w:val="a0"/>
    <w:link w:val="2"/>
    <w:uiPriority w:val="99"/>
    <w:qFormat/>
    <w:rPr>
      <w:rFonts w:ascii="Arial" w:eastAsia="黑体" w:hAnsi="Arial"/>
      <w:b/>
      <w:kern w:val="2"/>
      <w:sz w:val="32"/>
    </w:rPr>
  </w:style>
  <w:style w:type="paragraph" w:customStyle="1" w:styleId="11">
    <w:name w:val="列出段落1"/>
    <w:basedOn w:val="a"/>
    <w:uiPriority w:val="99"/>
    <w:qFormat/>
    <w:pPr>
      <w:ind w:firstLineChars="200" w:firstLine="420"/>
    </w:pPr>
  </w:style>
  <w:style w:type="paragraph" w:styleId="a8">
    <w:name w:val="List Paragraph"/>
    <w:basedOn w:val="a"/>
    <w:uiPriority w:val="99"/>
    <w:unhideWhenUsed/>
    <w:qFormat/>
    <w:pPr>
      <w:ind w:firstLineChars="200" w:firstLine="420"/>
    </w:pPr>
  </w:style>
  <w:style w:type="character" w:customStyle="1" w:styleId="font11">
    <w:name w:val="font11"/>
    <w:basedOn w:val="a0"/>
    <w:qFormat/>
    <w:rPr>
      <w:rFonts w:ascii="Calibri" w:hAnsi="Calibri" w:cs="Calibri" w:hint="default"/>
      <w:color w:val="000000"/>
      <w:sz w:val="20"/>
      <w:szCs w:val="20"/>
      <w:u w:val="none"/>
    </w:rPr>
  </w:style>
  <w:style w:type="character" w:customStyle="1" w:styleId="font31">
    <w:name w:val="font31"/>
    <w:basedOn w:val="a0"/>
    <w:qFormat/>
    <w:rPr>
      <w:rFonts w:ascii="Times New Roman" w:hAnsi="Times New Roman" w:cs="Times New Roman" w:hint="default"/>
      <w:b/>
      <w:color w:val="000000"/>
      <w:sz w:val="20"/>
      <w:szCs w:val="20"/>
      <w:u w:val="none"/>
    </w:rPr>
  </w:style>
  <w:style w:type="paragraph" w:customStyle="1" w:styleId="xmsonormal">
    <w:name w:val="x_msonormal"/>
    <w:basedOn w:val="a"/>
    <w:qFormat/>
    <w:rPr>
      <w:rFonts w:ascii="Calibri" w:hAnsi="Calibri" w:cs="Calibri"/>
      <w:kern w:val="0"/>
      <w:sz w:val="22"/>
      <w:szCs w:val="22"/>
      <w:lang w:val="de-CH" w:eastAsia="de-C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7168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C7D3A0-C195-4A99-A962-BD9910BE8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18</Pages>
  <Words>1430</Words>
  <Characters>8152</Characters>
  <Application>Microsoft Office Word</Application>
  <DocSecurity>0</DocSecurity>
  <Lines>67</Lines>
  <Paragraphs>19</Paragraphs>
  <ScaleCrop>false</ScaleCrop>
  <Company>yzr</Company>
  <LinksUpToDate>false</LinksUpToDate>
  <CharactersWithSpaces>9563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上能电气股份有限公司社会责任报告</dc:title>
  <dc:creator>user</dc:creator>
  <cp:lastModifiedBy>xb21cn</cp:lastModifiedBy>
  <cp:revision>59</cp:revision>
  <cp:lastPrinted>2023-07-18T02:10:00Z</cp:lastPrinted>
  <dcterms:created xsi:type="dcterms:W3CDTF">2018-08-15T13:55:00Z</dcterms:created>
  <dcterms:modified xsi:type="dcterms:W3CDTF">2025-08-14T02:55:00Z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2C989CF04CAA46A5A84D511E710FCD0E_12</vt:lpwstr>
  </property>
  <property fmtid="{D5CDD505-2E9C-101B-9397-08002B2CF9AE}" pid="4" name="KSOTemplateDocerSaveRecord">
    <vt:lpwstr>eyJoZGlkIjoiZmNkMjY3ZDIxZjMzNjc1YmVlOGQ0MWJkNTc0NWRkNjAiLCJ1c2VySWQiOiI2OTM4MjkwMTkifQ==</vt:lpwstr>
  </property>
</Properties>
</file>